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11" w:rsidRPr="00D46A08" w:rsidRDefault="00673E11" w:rsidP="00673E11">
      <w:pPr>
        <w:tabs>
          <w:tab w:val="center" w:pos="4536"/>
          <w:tab w:val="right" w:pos="9072"/>
        </w:tabs>
        <w:spacing w:after="0" w:line="240" w:lineRule="auto"/>
        <w:jc w:val="right"/>
      </w:pPr>
      <w:bookmarkStart w:id="0" w:name="2"/>
      <w:bookmarkStart w:id="1" w:name="9"/>
      <w:bookmarkStart w:id="2" w:name="_GoBack"/>
      <w:bookmarkEnd w:id="0"/>
      <w:bookmarkEnd w:id="1"/>
      <w:bookmarkEnd w:id="2"/>
      <w:r w:rsidRPr="00D46A08">
        <w:rPr>
          <w:rFonts w:cs="Arial"/>
          <w:b/>
          <w:bCs/>
          <w:sz w:val="40"/>
          <w:szCs w:val="40"/>
        </w:rPr>
        <w:t>DASV</w:t>
      </w:r>
    </w:p>
    <w:p w:rsidR="00673E11" w:rsidRPr="00D46A08" w:rsidRDefault="00673E11" w:rsidP="00673E11">
      <w:pPr>
        <w:spacing w:after="0" w:line="240" w:lineRule="auto"/>
        <w:jc w:val="right"/>
        <w:rPr>
          <w:rFonts w:cs="Arial"/>
          <w:sz w:val="20"/>
          <w:szCs w:val="20"/>
        </w:rPr>
      </w:pPr>
      <w:r w:rsidRPr="00D46A08">
        <w:rPr>
          <w:rFonts w:cs="Arial"/>
          <w:sz w:val="20"/>
          <w:szCs w:val="20"/>
        </w:rPr>
        <w:t>Deutsche Anwalts- und</w:t>
      </w:r>
    </w:p>
    <w:p w:rsidR="00673E11" w:rsidRPr="00D46A08" w:rsidRDefault="00673E11" w:rsidP="00673E11">
      <w:pPr>
        <w:spacing w:after="0" w:line="240" w:lineRule="auto"/>
        <w:jc w:val="right"/>
        <w:rPr>
          <w:rFonts w:cs="Arial"/>
          <w:sz w:val="20"/>
          <w:szCs w:val="20"/>
        </w:rPr>
      </w:pPr>
      <w:r w:rsidRPr="00D46A08">
        <w:rPr>
          <w:rFonts w:cs="Arial"/>
          <w:sz w:val="20"/>
          <w:szCs w:val="20"/>
        </w:rPr>
        <w:t>Steuerberatervereinigung</w:t>
      </w:r>
    </w:p>
    <w:p w:rsidR="00673E11" w:rsidRPr="00D46A08" w:rsidRDefault="00673E11" w:rsidP="00673E11">
      <w:pPr>
        <w:spacing w:after="0" w:line="240" w:lineRule="auto"/>
        <w:jc w:val="right"/>
        <w:rPr>
          <w:rFonts w:cs="Arial"/>
          <w:sz w:val="20"/>
          <w:szCs w:val="20"/>
        </w:rPr>
      </w:pPr>
      <w:r w:rsidRPr="00D46A08">
        <w:rPr>
          <w:rFonts w:cs="Arial"/>
          <w:sz w:val="20"/>
          <w:szCs w:val="20"/>
        </w:rPr>
        <w:t>für die mittelständische</w:t>
      </w:r>
    </w:p>
    <w:p w:rsidR="00673E11" w:rsidRPr="00D46A08" w:rsidRDefault="00673E11" w:rsidP="00673E11">
      <w:pPr>
        <w:spacing w:after="0" w:line="360" w:lineRule="auto"/>
        <w:ind w:left="7080"/>
        <w:jc w:val="right"/>
        <w:rPr>
          <w:rFonts w:cs="Arial"/>
        </w:rPr>
      </w:pPr>
      <w:r w:rsidRPr="00D46A08">
        <w:rPr>
          <w:rFonts w:cs="Arial"/>
          <w:sz w:val="20"/>
          <w:szCs w:val="20"/>
        </w:rPr>
        <w:t>Wirtschaft e. V.</w:t>
      </w:r>
    </w:p>
    <w:p w:rsidR="00673E11" w:rsidRPr="00D46A08" w:rsidRDefault="00673E11" w:rsidP="00673E11">
      <w:pPr>
        <w:spacing w:after="0" w:line="240" w:lineRule="auto"/>
        <w:jc w:val="center"/>
        <w:rPr>
          <w:rFonts w:cs="Arial"/>
          <w:b/>
          <w:bCs/>
          <w:sz w:val="20"/>
          <w:szCs w:val="20"/>
        </w:rPr>
      </w:pPr>
      <w:r w:rsidRPr="00D46A08">
        <w:rPr>
          <w:rFonts w:cs="Arial"/>
          <w:b/>
          <w:bCs/>
          <w:sz w:val="20"/>
          <w:szCs w:val="20"/>
        </w:rPr>
        <w:t>10 Urteile, die Ihre Leser interessieren könnten</w:t>
      </w:r>
    </w:p>
    <w:p w:rsidR="00673E11" w:rsidRPr="00D46A08" w:rsidRDefault="00673E11" w:rsidP="00673E11">
      <w:pPr>
        <w:spacing w:after="0" w:line="240" w:lineRule="auto"/>
        <w:jc w:val="center"/>
        <w:rPr>
          <w:rFonts w:cs="Arial"/>
          <w:b/>
          <w:bCs/>
          <w:sz w:val="20"/>
          <w:szCs w:val="20"/>
        </w:rPr>
      </w:pPr>
    </w:p>
    <w:p w:rsidR="00673E11" w:rsidRPr="00D46A08" w:rsidRDefault="00673E11" w:rsidP="00673E11">
      <w:pPr>
        <w:spacing w:after="0" w:line="240" w:lineRule="auto"/>
        <w:jc w:val="center"/>
        <w:rPr>
          <w:rFonts w:cs="Arial"/>
          <w:sz w:val="20"/>
          <w:szCs w:val="20"/>
        </w:rPr>
      </w:pPr>
      <w:r w:rsidRPr="00D46A08">
        <w:rPr>
          <w:rFonts w:cs="Arial"/>
          <w:sz w:val="20"/>
          <w:szCs w:val="20"/>
        </w:rPr>
        <w:t>zusammengestellt von Rechtsanwalt/Fachanwalt für Arbeitsrecht u. Fachanwalt für Erbrecht</w:t>
      </w:r>
    </w:p>
    <w:p w:rsidR="00673E11" w:rsidRPr="00D46A08" w:rsidRDefault="00673E11" w:rsidP="00673E11">
      <w:pPr>
        <w:spacing w:after="0" w:line="240" w:lineRule="auto"/>
        <w:ind w:right="540"/>
        <w:jc w:val="center"/>
        <w:rPr>
          <w:rFonts w:cs="Arial"/>
          <w:bCs/>
          <w:sz w:val="20"/>
          <w:szCs w:val="20"/>
        </w:rPr>
      </w:pPr>
      <w:r w:rsidRPr="00D46A08">
        <w:rPr>
          <w:rFonts w:cs="Arial"/>
          <w:bCs/>
          <w:sz w:val="20"/>
          <w:szCs w:val="20"/>
        </w:rPr>
        <w:t>Michael Henn, Stuttgart</w:t>
      </w:r>
    </w:p>
    <w:p w:rsidR="00590077" w:rsidRDefault="00590077"/>
    <w:p w:rsidR="00673E11" w:rsidRPr="00673E11" w:rsidRDefault="00673E11" w:rsidP="00673E11">
      <w:pPr>
        <w:spacing w:after="0" w:line="240" w:lineRule="auto"/>
        <w:jc w:val="center"/>
        <w:rPr>
          <w:b/>
          <w:sz w:val="20"/>
          <w:szCs w:val="20"/>
        </w:rPr>
      </w:pPr>
      <w:r w:rsidRPr="00673E11">
        <w:rPr>
          <w:b/>
        </w:rPr>
        <w:t>I.</w:t>
      </w:r>
    </w:p>
    <w:p w:rsidR="00673E11" w:rsidRPr="00673E11" w:rsidRDefault="00673E11" w:rsidP="00673E11">
      <w:pPr>
        <w:spacing w:after="0" w:line="240" w:lineRule="auto"/>
        <w:jc w:val="center"/>
        <w:rPr>
          <w:b/>
          <w:bCs/>
          <w:sz w:val="20"/>
          <w:szCs w:val="20"/>
        </w:rPr>
      </w:pPr>
      <w:r w:rsidRPr="00673E11">
        <w:rPr>
          <w:b/>
          <w:bCs/>
          <w:sz w:val="20"/>
          <w:szCs w:val="20"/>
        </w:rPr>
        <w:t>Zimmer in anderem Hotel als Reisemangel</w:t>
      </w:r>
    </w:p>
    <w:p w:rsidR="00673E11" w:rsidRPr="00673E11" w:rsidRDefault="00673E11" w:rsidP="00673E11">
      <w:pPr>
        <w:pStyle w:val="berschrift4"/>
        <w:spacing w:after="0"/>
        <w:jc w:val="center"/>
        <w:rPr>
          <w:rFonts w:ascii="Arial" w:hAnsi="Arial" w:cs="Arial"/>
          <w:color w:val="auto"/>
          <w:sz w:val="20"/>
          <w:szCs w:val="20"/>
        </w:rPr>
      </w:pPr>
      <w:r>
        <w:rPr>
          <w:rFonts w:ascii="Arial" w:hAnsi="Arial" w:cs="Arial"/>
          <w:color w:val="auto"/>
          <w:sz w:val="20"/>
          <w:szCs w:val="20"/>
        </w:rPr>
        <w:t>BGH</w:t>
      </w:r>
      <w:r w:rsidRPr="00673E11">
        <w:rPr>
          <w:rFonts w:ascii="Arial" w:hAnsi="Arial" w:cs="Arial"/>
          <w:color w:val="auto"/>
          <w:sz w:val="20"/>
          <w:szCs w:val="20"/>
        </w:rPr>
        <w:t xml:space="preserve"> Urteil vom 21.11.2017, Az: X ZR 111/16</w:t>
      </w:r>
    </w:p>
    <w:p w:rsidR="00A914A3" w:rsidRDefault="00A914A3" w:rsidP="00673E11">
      <w:pPr>
        <w:spacing w:after="0" w:line="240" w:lineRule="auto"/>
        <w:rPr>
          <w:rFonts w:cs="Arial"/>
          <w:sz w:val="20"/>
          <w:szCs w:val="20"/>
        </w:rPr>
      </w:pPr>
    </w:p>
    <w:p w:rsidR="00673E11" w:rsidRDefault="00590077" w:rsidP="00673E11">
      <w:pPr>
        <w:spacing w:after="0" w:line="240" w:lineRule="auto"/>
        <w:rPr>
          <w:rFonts w:cs="Arial"/>
          <w:sz w:val="20"/>
          <w:szCs w:val="20"/>
        </w:rPr>
      </w:pPr>
      <w:r w:rsidRPr="00673E11">
        <w:rPr>
          <w:rFonts w:cs="Arial"/>
          <w:sz w:val="20"/>
          <w:szCs w:val="20"/>
        </w:rPr>
        <w:t>a) Wird dem Reisenden statt eines Zimmers in dem vertraglich zugesicherten Hotel ein Zimmer in einem anderen Hotel zur Verfügung gestellt, mindert sich der Reisepreis für die Dauer des Mangels auch dann, wenn das andere Hotel in der Nähe des gebuchten liegt und im Wesentlichen den gleichen Standard aufweist.</w:t>
      </w:r>
    </w:p>
    <w:p w:rsidR="00673E11" w:rsidRDefault="00590077" w:rsidP="00673E11">
      <w:pPr>
        <w:spacing w:after="0" w:line="240" w:lineRule="auto"/>
        <w:rPr>
          <w:rFonts w:cs="Arial"/>
          <w:sz w:val="20"/>
          <w:szCs w:val="20"/>
        </w:rPr>
      </w:pPr>
      <w:r w:rsidRPr="00673E11">
        <w:rPr>
          <w:rFonts w:cs="Arial"/>
          <w:sz w:val="20"/>
          <w:szCs w:val="20"/>
        </w:rPr>
        <w:t>b) Auch bei einer - auf die gesamte Reise gesehen - eher geringen Minderungsquote liegt regelmäßig eine erhebliche Beeinträchtigung der Reise vor, wenn die Leistungen des Reiseveranstalters an einzelnen Reisetagen so erhebliche Mängel aufweisen, dass der Vertragszweck an diesen Tagen jedenfalls weitgehend verfehlt wird und die Urlaubszeit insoweit nutzlos aufgewendet wird.</w:t>
      </w:r>
    </w:p>
    <w:p w:rsidR="00590077" w:rsidRDefault="00590077" w:rsidP="00673E11">
      <w:pPr>
        <w:spacing w:after="0" w:line="240" w:lineRule="auto"/>
        <w:rPr>
          <w:sz w:val="20"/>
          <w:szCs w:val="20"/>
        </w:rPr>
      </w:pPr>
    </w:p>
    <w:p w:rsidR="00673E11" w:rsidRDefault="00673E11" w:rsidP="00673E11">
      <w:pPr>
        <w:spacing w:after="0" w:line="240" w:lineRule="auto"/>
        <w:jc w:val="center"/>
        <w:rPr>
          <w:b/>
          <w:sz w:val="20"/>
          <w:szCs w:val="20"/>
        </w:rPr>
      </w:pPr>
      <w:r w:rsidRPr="00673E11">
        <w:rPr>
          <w:b/>
          <w:sz w:val="20"/>
          <w:szCs w:val="20"/>
        </w:rPr>
        <w:t>II.</w:t>
      </w:r>
    </w:p>
    <w:p w:rsidR="00673E11" w:rsidRDefault="00A914A3" w:rsidP="00673E11">
      <w:pPr>
        <w:spacing w:after="0" w:line="240" w:lineRule="auto"/>
        <w:jc w:val="center"/>
        <w:rPr>
          <w:b/>
          <w:sz w:val="20"/>
          <w:szCs w:val="20"/>
        </w:rPr>
      </w:pPr>
      <w:r>
        <w:rPr>
          <w:b/>
          <w:sz w:val="20"/>
          <w:szCs w:val="20"/>
        </w:rPr>
        <w:t>Verzugspauschale</w:t>
      </w:r>
    </w:p>
    <w:p w:rsidR="002D6EAF" w:rsidRPr="00554308" w:rsidRDefault="002D6EAF" w:rsidP="00554308">
      <w:pPr>
        <w:spacing w:before="60" w:after="15"/>
        <w:ind w:right="540"/>
        <w:jc w:val="center"/>
        <w:rPr>
          <w:rFonts w:cs="Arial"/>
          <w:bCs/>
          <w:sz w:val="20"/>
          <w:szCs w:val="20"/>
        </w:rPr>
      </w:pPr>
      <w:r w:rsidRPr="00554308">
        <w:rPr>
          <w:rFonts w:cs="Arial"/>
          <w:bCs/>
          <w:sz w:val="20"/>
          <w:szCs w:val="20"/>
          <w:lang w:eastAsia="de-DE"/>
        </w:rPr>
        <w:t>Landesarbeitsgericht Hamm</w:t>
      </w:r>
      <w:r w:rsidR="00554308" w:rsidRPr="00554308">
        <w:rPr>
          <w:rFonts w:cs="Arial"/>
          <w:bCs/>
          <w:sz w:val="20"/>
          <w:szCs w:val="20"/>
          <w:lang w:eastAsia="de-DE"/>
        </w:rPr>
        <w:t xml:space="preserve">, </w:t>
      </w:r>
      <w:r w:rsidRPr="00554308">
        <w:rPr>
          <w:rFonts w:cs="Arial"/>
          <w:bCs/>
          <w:sz w:val="20"/>
          <w:szCs w:val="20"/>
        </w:rPr>
        <w:t>Urteil vom 29.11.2017, 6 Sa 620/17</w:t>
      </w:r>
    </w:p>
    <w:p w:rsidR="002D6EAF" w:rsidRDefault="002D6EAF" w:rsidP="002D6EAF">
      <w:pPr>
        <w:spacing w:before="60" w:after="15"/>
        <w:ind w:right="480"/>
        <w:jc w:val="both"/>
        <w:rPr>
          <w:rFonts w:cs="Arial"/>
          <w:b/>
          <w:bCs/>
          <w:color w:val="002060"/>
          <w:sz w:val="20"/>
          <w:szCs w:val="20"/>
          <w:lang w:eastAsia="de-DE"/>
        </w:rPr>
      </w:pPr>
    </w:p>
    <w:p w:rsidR="002D6EAF" w:rsidRPr="00554308" w:rsidRDefault="002D6EAF" w:rsidP="002D6EAF">
      <w:pPr>
        <w:spacing w:before="60" w:after="15"/>
        <w:ind w:right="480"/>
        <w:jc w:val="both"/>
        <w:rPr>
          <w:rFonts w:cs="Arial"/>
          <w:sz w:val="20"/>
          <w:szCs w:val="20"/>
          <w:lang w:eastAsia="de-DE"/>
        </w:rPr>
      </w:pPr>
      <w:r w:rsidRPr="00554308">
        <w:rPr>
          <w:rFonts w:cs="Arial"/>
          <w:sz w:val="20"/>
          <w:szCs w:val="20"/>
          <w:lang w:eastAsia="de-DE"/>
        </w:rPr>
        <w:t>1. Bei der Verzugspauschale nach § 288 Abs. 5 BGB handelt es sich nicht um "Kosten" i.Sd. 4 Abs. 1 Halbs. 2 ZPO. Sie ist daher bei Ermittlung des Wertes des Beschwerdegegenstandes nach § 64 Abs. 2 Buchst. b) ArbGG zu berücksichtigen.</w:t>
      </w:r>
    </w:p>
    <w:p w:rsidR="002D6EAF" w:rsidRPr="00554308" w:rsidRDefault="002D6EAF" w:rsidP="002D6EAF">
      <w:pPr>
        <w:spacing w:before="60" w:after="15"/>
        <w:ind w:right="480"/>
        <w:jc w:val="both"/>
        <w:rPr>
          <w:rFonts w:cs="Arial"/>
          <w:sz w:val="20"/>
          <w:szCs w:val="20"/>
          <w:lang w:eastAsia="de-DE"/>
        </w:rPr>
      </w:pPr>
      <w:r w:rsidRPr="00554308">
        <w:rPr>
          <w:rFonts w:cs="Arial"/>
          <w:sz w:val="20"/>
          <w:szCs w:val="20"/>
          <w:lang w:eastAsia="de-DE"/>
        </w:rPr>
        <w:t>2. „Nachtzuschläge“, die für während der Nachtzeit i.S.d. § 2 Abs. 3 ArbZG geleistete Arbeit, die nicht Nachtarbeit i.S.d. § 2 Abs. 4 ArbZG ist, gezahlt werden, beruhen nicht auf einer besonderen gesetzlichen Zweckbestimmung. Sie sind mindestlohn-wirksam und können den Mindestlohnanspruch des Arbeitnehmers nach § 1 Abs. 1 MiLoG erfüllen.</w:t>
      </w:r>
    </w:p>
    <w:p w:rsidR="002D6EAF" w:rsidRPr="00554308" w:rsidRDefault="002D6EAF" w:rsidP="002D6EAF">
      <w:pPr>
        <w:spacing w:before="60" w:after="15"/>
        <w:ind w:right="480"/>
        <w:jc w:val="both"/>
        <w:rPr>
          <w:rFonts w:cs="Arial"/>
          <w:sz w:val="20"/>
          <w:szCs w:val="20"/>
          <w:lang w:eastAsia="de-DE"/>
        </w:rPr>
      </w:pPr>
    </w:p>
    <w:p w:rsidR="002D6EAF" w:rsidRPr="00554308" w:rsidRDefault="002D6EAF" w:rsidP="002D6EAF">
      <w:pPr>
        <w:spacing w:before="60" w:after="15"/>
        <w:ind w:right="480"/>
        <w:jc w:val="both"/>
        <w:rPr>
          <w:rFonts w:cs="Arial"/>
          <w:b/>
          <w:bCs/>
          <w:i/>
          <w:iCs/>
          <w:color w:val="002060"/>
          <w:sz w:val="16"/>
          <w:szCs w:val="16"/>
          <w:lang w:eastAsia="de-DE"/>
        </w:rPr>
      </w:pPr>
      <w:r w:rsidRPr="00554308">
        <w:rPr>
          <w:rFonts w:cs="Arial"/>
          <w:b/>
          <w:bCs/>
          <w:color w:val="002060"/>
          <w:sz w:val="16"/>
          <w:szCs w:val="16"/>
          <w:u w:val="single"/>
          <w:lang w:eastAsia="de-DE"/>
        </w:rPr>
        <w:t xml:space="preserve">Siehe: </w:t>
      </w:r>
    </w:p>
    <w:p w:rsidR="002D6EAF" w:rsidRPr="00554308" w:rsidRDefault="002D6EAF" w:rsidP="002D6EAF">
      <w:pPr>
        <w:rPr>
          <w:rFonts w:cs="Arial"/>
          <w:sz w:val="16"/>
          <w:szCs w:val="16"/>
          <w:lang w:eastAsia="de-DE"/>
        </w:rPr>
      </w:pPr>
      <w:hyperlink r:id="rId7" w:history="1">
        <w:r w:rsidRPr="00554308">
          <w:rPr>
            <w:rStyle w:val="Hyperlink"/>
            <w:rFonts w:cs="Arial"/>
            <w:sz w:val="16"/>
            <w:szCs w:val="16"/>
          </w:rPr>
          <w:t>https://www.justiz.nrw.de/nrwe/arbgs/hamm/lag_hamm/j2017/6_Sa_620_17_Urteil_20171129.html</w:t>
        </w:r>
      </w:hyperlink>
    </w:p>
    <w:p w:rsidR="002D6EAF" w:rsidRDefault="002D6EAF" w:rsidP="002D6EAF">
      <w:pPr>
        <w:spacing w:before="60" w:after="15"/>
        <w:ind w:right="540"/>
        <w:jc w:val="both"/>
        <w:rPr>
          <w:rFonts w:cs="Arial"/>
          <w:b/>
          <w:bCs/>
          <w:sz w:val="20"/>
          <w:szCs w:val="20"/>
          <w:lang w:eastAsia="de-DE"/>
        </w:rPr>
      </w:pPr>
    </w:p>
    <w:p w:rsidR="00A914A3" w:rsidRPr="00554308" w:rsidRDefault="00A914A3" w:rsidP="002D6EAF">
      <w:pPr>
        <w:spacing w:before="60" w:after="15"/>
        <w:ind w:right="540"/>
        <w:jc w:val="both"/>
        <w:rPr>
          <w:rFonts w:cs="Arial"/>
          <w:b/>
          <w:bCs/>
          <w:sz w:val="20"/>
          <w:szCs w:val="20"/>
          <w:lang w:eastAsia="de-DE"/>
        </w:rPr>
      </w:pPr>
    </w:p>
    <w:p w:rsidR="002D6EAF" w:rsidRDefault="00554308" w:rsidP="00554308">
      <w:pPr>
        <w:spacing w:after="0" w:line="240" w:lineRule="auto"/>
        <w:jc w:val="center"/>
        <w:rPr>
          <w:b/>
          <w:sz w:val="20"/>
          <w:szCs w:val="20"/>
        </w:rPr>
      </w:pPr>
      <w:r>
        <w:rPr>
          <w:b/>
          <w:sz w:val="20"/>
          <w:szCs w:val="20"/>
        </w:rPr>
        <w:t>III.</w:t>
      </w:r>
    </w:p>
    <w:p w:rsidR="002D6EAF" w:rsidRPr="00554308" w:rsidRDefault="002D6EAF" w:rsidP="00554308">
      <w:pPr>
        <w:pStyle w:val="berschrift3"/>
        <w:spacing w:after="0" w:line="240" w:lineRule="auto"/>
        <w:jc w:val="center"/>
        <w:rPr>
          <w:rFonts w:ascii="Arial" w:hAnsi="Arial" w:cs="Arial"/>
          <w:sz w:val="20"/>
          <w:szCs w:val="20"/>
        </w:rPr>
      </w:pPr>
      <w:r w:rsidRPr="00554308">
        <w:rPr>
          <w:rFonts w:ascii="Arial" w:hAnsi="Arial" w:cs="Arial"/>
          <w:sz w:val="20"/>
          <w:szCs w:val="20"/>
        </w:rPr>
        <w:t>Klausel über Einräumung eines Vorpachtrechts</w:t>
      </w:r>
    </w:p>
    <w:p w:rsidR="002D6EAF" w:rsidRDefault="00554308" w:rsidP="00554308">
      <w:pPr>
        <w:pStyle w:val="berschrift4"/>
        <w:spacing w:after="0"/>
        <w:jc w:val="center"/>
        <w:rPr>
          <w:rFonts w:ascii="Arial" w:hAnsi="Arial" w:cs="Arial"/>
          <w:color w:val="auto"/>
          <w:sz w:val="20"/>
          <w:szCs w:val="20"/>
        </w:rPr>
      </w:pPr>
      <w:r w:rsidRPr="00554308">
        <w:rPr>
          <w:rFonts w:ascii="Arial" w:hAnsi="Arial" w:cs="Arial"/>
          <w:color w:val="auto"/>
          <w:sz w:val="20"/>
          <w:szCs w:val="20"/>
        </w:rPr>
        <w:t xml:space="preserve">BGH, </w:t>
      </w:r>
      <w:r w:rsidR="002D6EAF" w:rsidRPr="00554308">
        <w:rPr>
          <w:rFonts w:ascii="Arial" w:hAnsi="Arial" w:cs="Arial"/>
          <w:color w:val="auto"/>
          <w:sz w:val="20"/>
          <w:szCs w:val="20"/>
        </w:rPr>
        <w:t>Urteil vom 24.11.2017, Az: LwZR 5/16</w:t>
      </w:r>
      <w:r>
        <w:rPr>
          <w:rFonts w:ascii="Arial" w:hAnsi="Arial" w:cs="Arial"/>
          <w:color w:val="auto"/>
          <w:sz w:val="20"/>
          <w:szCs w:val="20"/>
        </w:rPr>
        <w:t xml:space="preserve"> </w:t>
      </w:r>
    </w:p>
    <w:p w:rsidR="00554308" w:rsidRPr="00554308" w:rsidRDefault="00554308" w:rsidP="00554308">
      <w:pPr>
        <w:pStyle w:val="berschrift4"/>
        <w:spacing w:after="0"/>
        <w:jc w:val="center"/>
        <w:rPr>
          <w:rFonts w:ascii="Arial" w:hAnsi="Arial" w:cs="Arial"/>
          <w:color w:val="auto"/>
          <w:sz w:val="20"/>
          <w:szCs w:val="20"/>
        </w:rPr>
      </w:pPr>
    </w:p>
    <w:p w:rsidR="002D6EAF" w:rsidRDefault="002D6EAF" w:rsidP="00554308">
      <w:pPr>
        <w:spacing w:after="0" w:line="240" w:lineRule="auto"/>
        <w:jc w:val="both"/>
        <w:rPr>
          <w:rFonts w:cs="Arial"/>
          <w:sz w:val="20"/>
          <w:szCs w:val="20"/>
        </w:rPr>
      </w:pPr>
      <w:r w:rsidRPr="00554308">
        <w:rPr>
          <w:rFonts w:cs="Arial"/>
          <w:sz w:val="20"/>
          <w:szCs w:val="20"/>
        </w:rPr>
        <w:t>Die in einem Landpachtvertrag von dem Pächter als Allgemeine Geschäftsbedingung gestellte Klausel, wonach ihm "ein Vorpachtrecht eingeräumt" wird, ohne dass der Inhalt dieses Rechts näher ausgestaltet wird, ist wegen Verstoßes gegen das Transparenzgebot gemäß § 307 Abs. 1 Satz 2 BGB unwirksam.</w:t>
      </w:r>
    </w:p>
    <w:p w:rsidR="00A914A3" w:rsidRDefault="00A914A3" w:rsidP="00554308">
      <w:pPr>
        <w:spacing w:after="0" w:line="240" w:lineRule="auto"/>
        <w:jc w:val="both"/>
        <w:rPr>
          <w:rFonts w:cs="Arial"/>
          <w:sz w:val="20"/>
          <w:szCs w:val="20"/>
        </w:rPr>
      </w:pPr>
      <w:r>
        <w:rPr>
          <w:rFonts w:cs="Arial"/>
          <w:sz w:val="20"/>
          <w:szCs w:val="20"/>
        </w:rPr>
        <w:br w:type="page"/>
      </w:r>
    </w:p>
    <w:p w:rsidR="00A914A3" w:rsidRPr="00554308" w:rsidRDefault="00A914A3" w:rsidP="00554308">
      <w:pPr>
        <w:spacing w:after="0" w:line="240" w:lineRule="auto"/>
        <w:jc w:val="both"/>
        <w:rPr>
          <w:rFonts w:cs="Arial"/>
          <w:sz w:val="20"/>
          <w:szCs w:val="20"/>
        </w:rPr>
      </w:pPr>
    </w:p>
    <w:p w:rsidR="004E4735" w:rsidRPr="00145F82" w:rsidRDefault="00554308" w:rsidP="002D6EAF">
      <w:pPr>
        <w:spacing w:after="0" w:line="240" w:lineRule="auto"/>
        <w:jc w:val="center"/>
        <w:rPr>
          <w:rFonts w:cs="Arial"/>
          <w:b/>
          <w:sz w:val="20"/>
          <w:szCs w:val="20"/>
        </w:rPr>
      </w:pPr>
      <w:r w:rsidRPr="00145F82">
        <w:rPr>
          <w:rFonts w:cs="Arial"/>
          <w:b/>
          <w:sz w:val="20"/>
          <w:szCs w:val="20"/>
        </w:rPr>
        <w:t>IV.</w:t>
      </w:r>
    </w:p>
    <w:p w:rsidR="00554308" w:rsidRPr="00145F82" w:rsidRDefault="00554308" w:rsidP="002D6EAF">
      <w:pPr>
        <w:spacing w:after="0" w:line="240" w:lineRule="auto"/>
        <w:jc w:val="center"/>
        <w:rPr>
          <w:rFonts w:cs="Arial"/>
          <w:b/>
          <w:sz w:val="20"/>
          <w:szCs w:val="20"/>
        </w:rPr>
      </w:pPr>
      <w:r w:rsidRPr="00145F82">
        <w:rPr>
          <w:rFonts w:cs="Arial"/>
          <w:b/>
          <w:sz w:val="20"/>
          <w:szCs w:val="20"/>
        </w:rPr>
        <w:t>Zur Wirksamkeit von Allgemeinen Geschäftsbedingungen einer Bank zur Einführung von Negativzinsen gegenüber Verbrauchern</w:t>
      </w:r>
    </w:p>
    <w:p w:rsidR="00554308" w:rsidRPr="00145F82" w:rsidRDefault="00554308" w:rsidP="002D6EAF">
      <w:pPr>
        <w:spacing w:after="0" w:line="240" w:lineRule="auto"/>
        <w:jc w:val="center"/>
        <w:rPr>
          <w:rFonts w:cs="Arial"/>
          <w:sz w:val="20"/>
          <w:szCs w:val="20"/>
        </w:rPr>
      </w:pPr>
      <w:r w:rsidRPr="00145F82">
        <w:rPr>
          <w:sz w:val="20"/>
          <w:szCs w:val="20"/>
        </w:rPr>
        <w:t>LG Tübingen, Urteil vom 26. Januar 2018, Az. 4 O 187/17 </w:t>
      </w:r>
    </w:p>
    <w:p w:rsidR="00554308" w:rsidRDefault="00554308" w:rsidP="00145F82">
      <w:pPr>
        <w:spacing w:after="0" w:line="240" w:lineRule="auto"/>
        <w:jc w:val="both"/>
        <w:rPr>
          <w:rFonts w:cs="Arial"/>
          <w:sz w:val="21"/>
          <w:szCs w:val="21"/>
        </w:rPr>
      </w:pPr>
    </w:p>
    <w:p w:rsidR="00145F82" w:rsidRDefault="00145F82" w:rsidP="00145F82">
      <w:pPr>
        <w:spacing w:after="0" w:line="240" w:lineRule="auto"/>
        <w:jc w:val="both"/>
        <w:rPr>
          <w:rFonts w:cs="Arial"/>
          <w:sz w:val="20"/>
          <w:szCs w:val="20"/>
        </w:rPr>
      </w:pPr>
      <w:r w:rsidRPr="00145F82">
        <w:rPr>
          <w:rFonts w:cs="Arial"/>
          <w:sz w:val="20"/>
          <w:szCs w:val="20"/>
        </w:rPr>
        <w:t>Allgemeine Geschäftsbedingungen einer Bank, mit denen bei Sicht-, Termin- und Festgeldeinlagen im Verhältnis zu Verbrauchern Negativzinsen eingeführt werden, sind dann nach § 307 BGB unwirksam, wenn davon auch Altverträge erfasst werden, die ohne eine Entgeltpflicht des Kunden geschlossen wurden.</w:t>
      </w:r>
    </w:p>
    <w:p w:rsidR="00A914A3" w:rsidRDefault="00A914A3" w:rsidP="00145F82">
      <w:pPr>
        <w:spacing w:after="0" w:line="240" w:lineRule="auto"/>
        <w:jc w:val="both"/>
        <w:rPr>
          <w:rFonts w:cs="Arial"/>
          <w:sz w:val="20"/>
          <w:szCs w:val="20"/>
        </w:rPr>
      </w:pPr>
    </w:p>
    <w:p w:rsidR="00A914A3" w:rsidRPr="00145F82" w:rsidRDefault="00A914A3" w:rsidP="00145F82">
      <w:pPr>
        <w:spacing w:after="0" w:line="240" w:lineRule="auto"/>
        <w:jc w:val="both"/>
        <w:rPr>
          <w:rFonts w:cs="Arial"/>
          <w:sz w:val="20"/>
          <w:szCs w:val="20"/>
        </w:rPr>
      </w:pPr>
    </w:p>
    <w:p w:rsidR="004E4735" w:rsidRPr="00145F82" w:rsidRDefault="00145F82" w:rsidP="002D6EAF">
      <w:pPr>
        <w:spacing w:after="0" w:line="240" w:lineRule="auto"/>
        <w:jc w:val="center"/>
        <w:rPr>
          <w:rFonts w:eastAsiaTheme="majorEastAsia" w:cs="Arial"/>
          <w:b/>
          <w:sz w:val="20"/>
          <w:szCs w:val="20"/>
        </w:rPr>
      </w:pPr>
      <w:r w:rsidRPr="00145F82">
        <w:rPr>
          <w:rFonts w:eastAsiaTheme="majorEastAsia" w:cs="Arial"/>
          <w:b/>
          <w:sz w:val="20"/>
          <w:szCs w:val="20"/>
        </w:rPr>
        <w:t>V.</w:t>
      </w:r>
    </w:p>
    <w:p w:rsidR="00145F82" w:rsidRDefault="00145F82" w:rsidP="002D6EAF">
      <w:pPr>
        <w:spacing w:after="0" w:line="240" w:lineRule="auto"/>
        <w:jc w:val="center"/>
        <w:rPr>
          <w:b/>
          <w:sz w:val="20"/>
          <w:szCs w:val="20"/>
        </w:rPr>
      </w:pPr>
      <w:r w:rsidRPr="00145F82">
        <w:rPr>
          <w:b/>
          <w:sz w:val="20"/>
          <w:szCs w:val="20"/>
        </w:rPr>
        <w:t>Keine Untersagung von geplanter Sonntagsarbeit im Zentrallager - hier: Beschwerde erfolglose gegen die Versagung vorläufigen Rechtsschutzes</w:t>
      </w:r>
    </w:p>
    <w:p w:rsidR="004E4735" w:rsidRPr="00145F82" w:rsidRDefault="00145F82" w:rsidP="002D6EAF">
      <w:pPr>
        <w:spacing w:after="0" w:line="240" w:lineRule="auto"/>
        <w:jc w:val="center"/>
        <w:rPr>
          <w:sz w:val="20"/>
          <w:szCs w:val="20"/>
        </w:rPr>
      </w:pPr>
      <w:r w:rsidRPr="00145F82">
        <w:rPr>
          <w:sz w:val="20"/>
          <w:szCs w:val="20"/>
        </w:rPr>
        <w:t>Oberverwaltungsgericht Nordrhein-Westfalen, Beschluss vom 11.</w:t>
      </w:r>
      <w:r>
        <w:rPr>
          <w:sz w:val="20"/>
          <w:szCs w:val="20"/>
        </w:rPr>
        <w:t>12.</w:t>
      </w:r>
      <w:r w:rsidRPr="00145F82">
        <w:rPr>
          <w:sz w:val="20"/>
          <w:szCs w:val="20"/>
        </w:rPr>
        <w:t>2017</w:t>
      </w:r>
      <w:r>
        <w:rPr>
          <w:sz w:val="20"/>
          <w:szCs w:val="20"/>
        </w:rPr>
        <w:t>, Az.</w:t>
      </w:r>
      <w:r w:rsidRPr="00145F82">
        <w:rPr>
          <w:sz w:val="20"/>
          <w:szCs w:val="20"/>
        </w:rPr>
        <w:t xml:space="preserve"> 4 B 634/17</w:t>
      </w:r>
    </w:p>
    <w:p w:rsidR="00145F82" w:rsidRDefault="00145F82" w:rsidP="002D6EAF">
      <w:pPr>
        <w:spacing w:after="0" w:line="240" w:lineRule="auto"/>
        <w:jc w:val="center"/>
        <w:rPr>
          <w:b/>
          <w:sz w:val="20"/>
          <w:szCs w:val="20"/>
        </w:rPr>
      </w:pPr>
    </w:p>
    <w:p w:rsidR="004E4735" w:rsidRPr="00145F82" w:rsidRDefault="00145F82" w:rsidP="00145F82">
      <w:pPr>
        <w:spacing w:after="0" w:line="240" w:lineRule="auto"/>
        <w:jc w:val="both"/>
        <w:rPr>
          <w:sz w:val="20"/>
          <w:szCs w:val="20"/>
        </w:rPr>
      </w:pPr>
      <w:r w:rsidRPr="00145F82">
        <w:rPr>
          <w:sz w:val="20"/>
          <w:szCs w:val="20"/>
        </w:rPr>
        <w:t>Die Ausnahmeregelung des § 10 Abs. 1 Nr. 10 ArbZG bezweckt nicht nur die Verhinderung des Verderbens oder des Qualitätsverlustes von Frischwaren, sondern dient zugleich der Befriedigung eines Bedürfnisses des Verbrauchers nach Frischwaren bereits am Montagmorgen bzw. am Morgen nach einem Feiertag.(Rn.6)</w:t>
      </w:r>
    </w:p>
    <w:p w:rsidR="00145F82" w:rsidRDefault="00145F82" w:rsidP="00145F82">
      <w:pPr>
        <w:spacing w:after="0" w:line="240" w:lineRule="auto"/>
        <w:jc w:val="both"/>
        <w:rPr>
          <w:b/>
          <w:sz w:val="20"/>
          <w:szCs w:val="20"/>
        </w:rPr>
      </w:pPr>
    </w:p>
    <w:p w:rsidR="00A914A3" w:rsidRDefault="00A914A3" w:rsidP="00145F82">
      <w:pPr>
        <w:spacing w:after="0" w:line="240" w:lineRule="auto"/>
        <w:jc w:val="both"/>
        <w:rPr>
          <w:b/>
          <w:sz w:val="20"/>
          <w:szCs w:val="20"/>
        </w:rPr>
      </w:pPr>
    </w:p>
    <w:p w:rsidR="00145F82" w:rsidRDefault="00145F82" w:rsidP="00145F82">
      <w:pPr>
        <w:spacing w:after="0" w:line="240" w:lineRule="auto"/>
        <w:jc w:val="center"/>
        <w:rPr>
          <w:b/>
          <w:sz w:val="20"/>
          <w:szCs w:val="20"/>
        </w:rPr>
      </w:pPr>
      <w:r>
        <w:rPr>
          <w:b/>
          <w:sz w:val="20"/>
          <w:szCs w:val="20"/>
        </w:rPr>
        <w:t>VI.</w:t>
      </w:r>
    </w:p>
    <w:p w:rsidR="00B96593" w:rsidRPr="00A914A3" w:rsidRDefault="00A914A3" w:rsidP="002D6EAF">
      <w:pPr>
        <w:spacing w:after="0" w:line="240" w:lineRule="auto"/>
        <w:jc w:val="center"/>
        <w:rPr>
          <w:b/>
          <w:sz w:val="20"/>
          <w:szCs w:val="20"/>
        </w:rPr>
      </w:pPr>
      <w:r w:rsidRPr="00A914A3">
        <w:rPr>
          <w:b/>
          <w:sz w:val="20"/>
          <w:szCs w:val="20"/>
        </w:rPr>
        <w:t>notarielle Gesellschafterliste</w:t>
      </w:r>
    </w:p>
    <w:p w:rsidR="00B96593" w:rsidRPr="00145F82" w:rsidRDefault="00145F82" w:rsidP="002D6EAF">
      <w:pPr>
        <w:spacing w:after="0" w:line="240" w:lineRule="auto"/>
        <w:jc w:val="center"/>
        <w:rPr>
          <w:sz w:val="20"/>
          <w:szCs w:val="20"/>
        </w:rPr>
      </w:pPr>
      <w:r w:rsidRPr="00145F82">
        <w:rPr>
          <w:sz w:val="20"/>
          <w:szCs w:val="20"/>
        </w:rPr>
        <w:t>OLG Nürnberg, Beschluss vom 28. Dezember 2017</w:t>
      </w:r>
      <w:r>
        <w:rPr>
          <w:sz w:val="20"/>
          <w:szCs w:val="20"/>
        </w:rPr>
        <w:t>, Az.</w:t>
      </w:r>
      <w:r w:rsidRPr="00145F82">
        <w:rPr>
          <w:sz w:val="20"/>
          <w:szCs w:val="20"/>
        </w:rPr>
        <w:t xml:space="preserve"> 12 W 2005/17</w:t>
      </w:r>
    </w:p>
    <w:p w:rsidR="00145F82" w:rsidRDefault="00145F82" w:rsidP="002D6EAF">
      <w:pPr>
        <w:spacing w:after="0" w:line="240" w:lineRule="auto"/>
        <w:jc w:val="center"/>
        <w:rPr>
          <w:b/>
          <w:sz w:val="20"/>
          <w:szCs w:val="20"/>
        </w:rPr>
      </w:pPr>
    </w:p>
    <w:p w:rsidR="00145F82" w:rsidRPr="00145F82" w:rsidRDefault="00145F82" w:rsidP="00145F82">
      <w:pPr>
        <w:spacing w:after="0" w:line="240" w:lineRule="auto"/>
        <w:jc w:val="both"/>
        <w:rPr>
          <w:sz w:val="20"/>
          <w:szCs w:val="20"/>
        </w:rPr>
      </w:pPr>
      <w:r w:rsidRPr="00145F82">
        <w:rPr>
          <w:sz w:val="20"/>
          <w:szCs w:val="20"/>
        </w:rPr>
        <w:t>1. Eine notarielle Gesellschafterliste kann auch noch nach Einreichung beim Handelsregister und Aufnahme in den Registerordner wegen offenbarer Unrichtigkeit gemäß § 44a Abs. 2 BeurkG berichtigt werden.</w:t>
      </w:r>
    </w:p>
    <w:p w:rsidR="00145F82" w:rsidRPr="00145F82" w:rsidRDefault="00145F82" w:rsidP="00145F82">
      <w:pPr>
        <w:spacing w:after="0" w:line="240" w:lineRule="auto"/>
        <w:jc w:val="both"/>
        <w:rPr>
          <w:sz w:val="20"/>
          <w:szCs w:val="20"/>
        </w:rPr>
      </w:pPr>
      <w:r w:rsidRPr="00145F82">
        <w:rPr>
          <w:sz w:val="20"/>
          <w:szCs w:val="20"/>
        </w:rPr>
        <w:t>2. Die Urschrift der entsprechend berichtigten Gesellschafterliste bleibt gemäß § 45 Abs. 1 BeurkG in Verwahrung des Notars. Die Berichtigung erfolgt durch Einreichung einer elektronisch beglaubigten Abschrift der berichtigten Gesellschafterliste beim Handelsregister. Hierfür reicht nicht aus, dass bei dem insoweit gemäß § 12 Abs. 2 HGB einzureichenden elektronischen Dokument die Berichtigung allein im Text der Urkunde vorgenommen wird; vielmehr muss auch die elektronisch beglaubigte Abschrift der berichtigten Gesellschafterliste einen Berichtigungsvermerk gemäß § 44a Abs. 2 BeurkG enthalten, der Umstand und Zeitpunkt der Berichtigung erkennen lässt.</w:t>
      </w:r>
    </w:p>
    <w:p w:rsidR="00145F82" w:rsidRDefault="00145F82" w:rsidP="002D6EAF">
      <w:pPr>
        <w:spacing w:after="0" w:line="240" w:lineRule="auto"/>
        <w:jc w:val="center"/>
        <w:rPr>
          <w:b/>
          <w:sz w:val="20"/>
          <w:szCs w:val="20"/>
        </w:rPr>
      </w:pPr>
    </w:p>
    <w:p w:rsidR="00A914A3" w:rsidRDefault="00A914A3" w:rsidP="002D6EAF">
      <w:pPr>
        <w:spacing w:after="0" w:line="240" w:lineRule="auto"/>
        <w:jc w:val="center"/>
        <w:rPr>
          <w:b/>
          <w:sz w:val="20"/>
          <w:szCs w:val="20"/>
        </w:rPr>
      </w:pPr>
    </w:p>
    <w:p w:rsidR="00B96593" w:rsidRDefault="00145F82" w:rsidP="002D6EAF">
      <w:pPr>
        <w:spacing w:after="0" w:line="240" w:lineRule="auto"/>
        <w:jc w:val="center"/>
        <w:rPr>
          <w:b/>
          <w:sz w:val="20"/>
          <w:szCs w:val="20"/>
        </w:rPr>
      </w:pPr>
      <w:r>
        <w:rPr>
          <w:b/>
          <w:sz w:val="20"/>
          <w:szCs w:val="20"/>
        </w:rPr>
        <w:t>VII.</w:t>
      </w:r>
    </w:p>
    <w:p w:rsidR="00145F82" w:rsidRDefault="00145F82" w:rsidP="002D6EAF">
      <w:pPr>
        <w:spacing w:after="0" w:line="240" w:lineRule="auto"/>
        <w:jc w:val="center"/>
        <w:rPr>
          <w:b/>
          <w:sz w:val="20"/>
          <w:szCs w:val="20"/>
        </w:rPr>
      </w:pPr>
      <w:r w:rsidRPr="00145F82">
        <w:rPr>
          <w:b/>
          <w:sz w:val="20"/>
          <w:szCs w:val="20"/>
        </w:rPr>
        <w:t>Provision des Handelsvertreters: Beginn der Verjährung des Anspruchs auf Erteilung eines Buchauszugs; abschließende Abrechnung bei einem Versicherungsvertreter</w:t>
      </w:r>
    </w:p>
    <w:p w:rsidR="00B96593" w:rsidRPr="00145F82" w:rsidRDefault="00145F82" w:rsidP="002D6EAF">
      <w:pPr>
        <w:spacing w:after="0" w:line="240" w:lineRule="auto"/>
        <w:jc w:val="center"/>
        <w:rPr>
          <w:sz w:val="20"/>
          <w:szCs w:val="20"/>
        </w:rPr>
      </w:pPr>
      <w:r w:rsidRPr="00145F82">
        <w:rPr>
          <w:sz w:val="20"/>
          <w:szCs w:val="20"/>
        </w:rPr>
        <w:t>OLG München, Urteil vom 21. Dezember 2017</w:t>
      </w:r>
      <w:r>
        <w:rPr>
          <w:sz w:val="20"/>
          <w:szCs w:val="20"/>
        </w:rPr>
        <w:t>, Az.</w:t>
      </w:r>
      <w:r w:rsidRPr="00145F82">
        <w:rPr>
          <w:sz w:val="20"/>
          <w:szCs w:val="20"/>
        </w:rPr>
        <w:t xml:space="preserve"> 23 U 1488/17</w:t>
      </w:r>
    </w:p>
    <w:p w:rsidR="00145F82" w:rsidRDefault="00145F82" w:rsidP="002D6EAF">
      <w:pPr>
        <w:spacing w:after="0" w:line="240" w:lineRule="auto"/>
        <w:jc w:val="center"/>
        <w:rPr>
          <w:b/>
          <w:sz w:val="20"/>
          <w:szCs w:val="20"/>
        </w:rPr>
      </w:pPr>
    </w:p>
    <w:p w:rsidR="00145F82" w:rsidRPr="00145F82" w:rsidRDefault="00145F82" w:rsidP="00145F82">
      <w:pPr>
        <w:spacing w:after="0" w:line="240" w:lineRule="auto"/>
        <w:jc w:val="both"/>
        <w:rPr>
          <w:sz w:val="20"/>
          <w:szCs w:val="20"/>
        </w:rPr>
      </w:pPr>
      <w:r w:rsidRPr="00145F82">
        <w:rPr>
          <w:sz w:val="20"/>
          <w:szCs w:val="20"/>
        </w:rPr>
        <w:t>1. Die Verjährung des Anspruchs des Handelsvertreters auf Erteilung eines Buchauszugs nach § 87c Abs. 2 HGB beginnt regelmäßig mit dem Schluss des Jahres, in dem der Unternehmer dem Handelsvertreter eine abschließende Abrechnung über die diesem zustehende Provision erteilt hat (Anschluss an BGH, Urteil vom 3. August 2017, VII ZR 32/17, Rn. 14 juris).(Rn.105)</w:t>
      </w:r>
    </w:p>
    <w:p w:rsidR="00145F82" w:rsidRPr="00145F82" w:rsidRDefault="00145F82" w:rsidP="00145F82">
      <w:pPr>
        <w:spacing w:after="0" w:line="240" w:lineRule="auto"/>
        <w:jc w:val="both"/>
        <w:rPr>
          <w:sz w:val="20"/>
          <w:szCs w:val="20"/>
        </w:rPr>
      </w:pPr>
      <w:r w:rsidRPr="00145F82">
        <w:rPr>
          <w:sz w:val="20"/>
          <w:szCs w:val="20"/>
        </w:rPr>
        <w:t>2. Dies gilt grundsätzlich auch für Versicherungsvertreter im Sinne des § 92 HGB. Dass die vermittelten Verträge einer Stornohaftzeit unterliegen, steht der Annahme einer abschließenden Abrechnung über die dem Versicherungsvertreter zustehenden Provisionen nicht entgegen, denn mit Erhalt der Abrechnungen weiß der Versicherungsvertreter, welche Beträge als Stornoreserve einbehalten wurden.(Rn.107)</w:t>
      </w:r>
    </w:p>
    <w:p w:rsidR="00A914A3" w:rsidRDefault="00A914A3" w:rsidP="00145F82">
      <w:pPr>
        <w:spacing w:after="0" w:line="240" w:lineRule="auto"/>
        <w:jc w:val="both"/>
        <w:rPr>
          <w:b/>
          <w:sz w:val="20"/>
          <w:szCs w:val="20"/>
        </w:rPr>
      </w:pPr>
      <w:r>
        <w:rPr>
          <w:b/>
          <w:sz w:val="20"/>
          <w:szCs w:val="20"/>
        </w:rPr>
        <w:br w:type="page"/>
      </w:r>
    </w:p>
    <w:p w:rsidR="00145F82" w:rsidRDefault="00145F82" w:rsidP="00145F82">
      <w:pPr>
        <w:spacing w:after="0" w:line="240" w:lineRule="auto"/>
        <w:jc w:val="both"/>
        <w:rPr>
          <w:b/>
          <w:sz w:val="20"/>
          <w:szCs w:val="20"/>
        </w:rPr>
      </w:pPr>
    </w:p>
    <w:p w:rsidR="00A914A3" w:rsidRDefault="00A914A3" w:rsidP="00145F82">
      <w:pPr>
        <w:spacing w:after="0" w:line="240" w:lineRule="auto"/>
        <w:jc w:val="both"/>
        <w:rPr>
          <w:b/>
          <w:sz w:val="20"/>
          <w:szCs w:val="20"/>
        </w:rPr>
      </w:pPr>
    </w:p>
    <w:p w:rsidR="00145F82" w:rsidRDefault="00145F82" w:rsidP="00145F82">
      <w:pPr>
        <w:spacing w:after="0" w:line="240" w:lineRule="auto"/>
        <w:jc w:val="center"/>
        <w:rPr>
          <w:b/>
          <w:sz w:val="20"/>
          <w:szCs w:val="20"/>
        </w:rPr>
      </w:pPr>
      <w:r>
        <w:rPr>
          <w:b/>
          <w:sz w:val="20"/>
          <w:szCs w:val="20"/>
        </w:rPr>
        <w:t>VIII.</w:t>
      </w:r>
    </w:p>
    <w:p w:rsidR="00145F82" w:rsidRDefault="00145F82" w:rsidP="002D6EAF">
      <w:pPr>
        <w:spacing w:after="0" w:line="240" w:lineRule="auto"/>
        <w:jc w:val="center"/>
        <w:rPr>
          <w:sz w:val="20"/>
          <w:szCs w:val="20"/>
        </w:rPr>
      </w:pPr>
      <w:r w:rsidRPr="00145F82">
        <w:rPr>
          <w:sz w:val="20"/>
          <w:szCs w:val="20"/>
        </w:rPr>
        <w:t>LG Hamburg, Urteil vom 08. Dezember 2017</w:t>
      </w:r>
      <w:r>
        <w:rPr>
          <w:sz w:val="20"/>
          <w:szCs w:val="20"/>
        </w:rPr>
        <w:t xml:space="preserve">, Az. </w:t>
      </w:r>
      <w:r w:rsidRPr="00145F82">
        <w:rPr>
          <w:sz w:val="20"/>
          <w:szCs w:val="20"/>
        </w:rPr>
        <w:t>324 O 72/17</w:t>
      </w:r>
    </w:p>
    <w:p w:rsidR="00145F82" w:rsidRPr="00145F82" w:rsidRDefault="00145F82" w:rsidP="002D6EAF">
      <w:pPr>
        <w:spacing w:after="0" w:line="240" w:lineRule="auto"/>
        <w:jc w:val="center"/>
        <w:rPr>
          <w:sz w:val="20"/>
          <w:szCs w:val="20"/>
        </w:rPr>
      </w:pPr>
    </w:p>
    <w:p w:rsidR="00145F82" w:rsidRDefault="00145F82" w:rsidP="00145F82">
      <w:pPr>
        <w:spacing w:after="0" w:line="240" w:lineRule="auto"/>
        <w:jc w:val="both"/>
        <w:rPr>
          <w:sz w:val="20"/>
          <w:szCs w:val="20"/>
        </w:rPr>
      </w:pPr>
      <w:r w:rsidRPr="00145F82">
        <w:rPr>
          <w:sz w:val="20"/>
          <w:szCs w:val="20"/>
        </w:rPr>
        <w:t>Die eigene Zurschaustellung privater Aufnahmen im Internet steht einem auf das Recht am eigenen Bild gestützten Unterlassungsanspruch nicht zwingend entgegen.</w:t>
      </w:r>
    </w:p>
    <w:p w:rsidR="00145F82" w:rsidRDefault="00145F82" w:rsidP="002D6EAF">
      <w:pPr>
        <w:spacing w:after="0" w:line="240" w:lineRule="auto"/>
        <w:jc w:val="center"/>
        <w:rPr>
          <w:b/>
          <w:sz w:val="20"/>
          <w:szCs w:val="20"/>
        </w:rPr>
      </w:pPr>
    </w:p>
    <w:p w:rsidR="00145F82" w:rsidRDefault="00145F82" w:rsidP="002D6EAF">
      <w:pPr>
        <w:spacing w:after="0" w:line="240" w:lineRule="auto"/>
        <w:jc w:val="center"/>
        <w:rPr>
          <w:b/>
          <w:sz w:val="20"/>
          <w:szCs w:val="20"/>
        </w:rPr>
      </w:pPr>
      <w:r>
        <w:rPr>
          <w:b/>
          <w:sz w:val="20"/>
          <w:szCs w:val="20"/>
        </w:rPr>
        <w:t>IX.</w:t>
      </w:r>
    </w:p>
    <w:p w:rsidR="00B96593" w:rsidRDefault="00145F82" w:rsidP="002D6EAF">
      <w:pPr>
        <w:spacing w:after="0" w:line="240" w:lineRule="auto"/>
        <w:jc w:val="center"/>
        <w:rPr>
          <w:b/>
          <w:sz w:val="20"/>
          <w:szCs w:val="20"/>
        </w:rPr>
      </w:pPr>
      <w:r w:rsidRPr="00145F82">
        <w:rPr>
          <w:b/>
          <w:sz w:val="20"/>
          <w:szCs w:val="20"/>
        </w:rPr>
        <w:t>Auskunftsanspruch einer Erbengemeinschaft über den Bestand des Nachlasses: Annahme eines Auftragsverhältnisses; Unmöglichkeit der Auskunftserteilung; Anforderungen an eine ordnungsgemäße Rechnungslegung</w:t>
      </w:r>
    </w:p>
    <w:p w:rsidR="00B96593" w:rsidRPr="00145F82" w:rsidRDefault="00145F82" w:rsidP="002D6EAF">
      <w:pPr>
        <w:spacing w:after="0" w:line="240" w:lineRule="auto"/>
        <w:jc w:val="center"/>
        <w:rPr>
          <w:sz w:val="20"/>
          <w:szCs w:val="20"/>
        </w:rPr>
      </w:pPr>
      <w:r w:rsidRPr="00145F82">
        <w:rPr>
          <w:sz w:val="20"/>
          <w:szCs w:val="20"/>
        </w:rPr>
        <w:t>OLG München, Urteil vom 06. Dezember 2017, Az. 7 U 1519/17</w:t>
      </w:r>
    </w:p>
    <w:p w:rsidR="00145F82" w:rsidRDefault="00145F82" w:rsidP="002D6EAF">
      <w:pPr>
        <w:spacing w:after="0" w:line="240" w:lineRule="auto"/>
        <w:jc w:val="center"/>
        <w:rPr>
          <w:b/>
          <w:sz w:val="20"/>
          <w:szCs w:val="20"/>
        </w:rPr>
      </w:pPr>
    </w:p>
    <w:p w:rsidR="00145F82" w:rsidRDefault="00145F82" w:rsidP="00145F82">
      <w:pPr>
        <w:spacing w:after="0" w:line="240" w:lineRule="auto"/>
        <w:jc w:val="both"/>
        <w:rPr>
          <w:b/>
          <w:sz w:val="20"/>
          <w:szCs w:val="20"/>
        </w:rPr>
      </w:pPr>
    </w:p>
    <w:p w:rsidR="00145F82" w:rsidRPr="00145F82" w:rsidRDefault="00145F82" w:rsidP="00145F82">
      <w:pPr>
        <w:spacing w:after="0" w:line="240" w:lineRule="auto"/>
        <w:jc w:val="both"/>
        <w:rPr>
          <w:sz w:val="20"/>
          <w:szCs w:val="20"/>
        </w:rPr>
      </w:pPr>
      <w:r w:rsidRPr="00145F82">
        <w:rPr>
          <w:sz w:val="20"/>
          <w:szCs w:val="20"/>
        </w:rPr>
        <w:t>1. Werden die Auftragsvorschriften in einer "Generalvollmacht und Patientenverfügung" ausdrücklich für anwendbar erklärt, so ist von einem Auftragsverhältnis mit der Folge eines Auskunftsanspruchs aus § 666 BGB auszugehen.(Rn.35)</w:t>
      </w:r>
    </w:p>
    <w:p w:rsidR="00145F82" w:rsidRPr="00145F82" w:rsidRDefault="00145F82" w:rsidP="00145F82">
      <w:pPr>
        <w:spacing w:after="0" w:line="240" w:lineRule="auto"/>
        <w:jc w:val="both"/>
        <w:rPr>
          <w:sz w:val="20"/>
          <w:szCs w:val="20"/>
        </w:rPr>
      </w:pPr>
      <w:r w:rsidRPr="00145F82">
        <w:rPr>
          <w:sz w:val="20"/>
          <w:szCs w:val="20"/>
        </w:rPr>
        <w:t>2. Von der Unmöglichkeit einer Auskunftserteilung kann nur dann ausgegangen werden, wenn sämtliche dem Auskunftspflichtigen nach Vornahme aller zumutbaren Anstrengungen zur Verfügung stehenden Erkenntnismöglichkeiten versagen. Der Umstand, dass hierdurch ggf. Kosten entstehen, ist für die Frage der Unmöglichkeit unbeachtlich.(Rn.39)</w:t>
      </w:r>
    </w:p>
    <w:p w:rsidR="00145F82" w:rsidRPr="00145F82" w:rsidRDefault="00145F82" w:rsidP="00145F82">
      <w:pPr>
        <w:spacing w:after="0" w:line="240" w:lineRule="auto"/>
        <w:jc w:val="both"/>
        <w:rPr>
          <w:sz w:val="20"/>
          <w:szCs w:val="20"/>
        </w:rPr>
      </w:pPr>
      <w:r w:rsidRPr="00145F82">
        <w:rPr>
          <w:sz w:val="20"/>
          <w:szCs w:val="20"/>
        </w:rPr>
        <w:t>3. Die Übermittlung von Buchungsübersichten genügt nicht den Anforderungen des § 259 BGB an eine Rechenschaftslegung im Sinne einer übersichtlichen und in sich verständlichen Zusammenstellung der Einnahmen und Ausgaben, wenn die Erklärungen zu den einzelnen Buchungsvorgängen nicht nachvollziehbar sind.(Rn.49)</w:t>
      </w:r>
    </w:p>
    <w:p w:rsidR="00145F82" w:rsidRPr="00145F82" w:rsidRDefault="00145F82" w:rsidP="00145F82">
      <w:pPr>
        <w:spacing w:after="0" w:line="240" w:lineRule="auto"/>
        <w:jc w:val="both"/>
        <w:rPr>
          <w:sz w:val="20"/>
          <w:szCs w:val="20"/>
        </w:rPr>
      </w:pPr>
      <w:r w:rsidRPr="00145F82">
        <w:rPr>
          <w:sz w:val="20"/>
          <w:szCs w:val="20"/>
        </w:rPr>
        <w:t>4. Eine Rechenschaftslegung setzt Erklärung des Auskunftsverpflichteten und nicht eine solche des Erblassers voraus.(Rn.52)</w:t>
      </w:r>
    </w:p>
    <w:p w:rsidR="00145F82" w:rsidRDefault="00145F82" w:rsidP="00145F82">
      <w:pPr>
        <w:spacing w:after="0" w:line="240" w:lineRule="auto"/>
        <w:jc w:val="both"/>
        <w:rPr>
          <w:b/>
          <w:sz w:val="20"/>
          <w:szCs w:val="20"/>
        </w:rPr>
      </w:pPr>
    </w:p>
    <w:p w:rsidR="00145F82" w:rsidRDefault="00145F82" w:rsidP="00145F82">
      <w:pPr>
        <w:spacing w:after="0" w:line="240" w:lineRule="auto"/>
        <w:jc w:val="center"/>
        <w:rPr>
          <w:b/>
          <w:sz w:val="20"/>
          <w:szCs w:val="20"/>
        </w:rPr>
      </w:pPr>
      <w:r>
        <w:rPr>
          <w:b/>
          <w:sz w:val="20"/>
          <w:szCs w:val="20"/>
        </w:rPr>
        <w:t>X.</w:t>
      </w:r>
    </w:p>
    <w:p w:rsidR="00145F82" w:rsidRPr="00A914A3" w:rsidRDefault="00A914A3" w:rsidP="00145F82">
      <w:pPr>
        <w:spacing w:after="0" w:line="240" w:lineRule="auto"/>
        <w:jc w:val="center"/>
        <w:rPr>
          <w:b/>
          <w:sz w:val="20"/>
          <w:szCs w:val="20"/>
        </w:rPr>
      </w:pPr>
      <w:r w:rsidRPr="00A914A3">
        <w:rPr>
          <w:b/>
          <w:sz w:val="20"/>
          <w:szCs w:val="20"/>
        </w:rPr>
        <w:t>Reise- Rücktrittskosten- und Reiseabbruch-Versicherung</w:t>
      </w:r>
    </w:p>
    <w:p w:rsidR="00A61D4C" w:rsidRPr="00A61D4C" w:rsidRDefault="00A61D4C" w:rsidP="00145F82">
      <w:pPr>
        <w:spacing w:after="0" w:line="240" w:lineRule="auto"/>
        <w:jc w:val="center"/>
        <w:rPr>
          <w:sz w:val="20"/>
          <w:szCs w:val="20"/>
        </w:rPr>
      </w:pPr>
      <w:r w:rsidRPr="00A61D4C">
        <w:rPr>
          <w:sz w:val="20"/>
          <w:szCs w:val="20"/>
        </w:rPr>
        <w:t>KG Berlin, Urteil vom 22. Dezember 2017, Az. 6 U 81/17</w:t>
      </w:r>
    </w:p>
    <w:p w:rsidR="00A61D4C" w:rsidRDefault="00A61D4C" w:rsidP="00A61D4C">
      <w:pPr>
        <w:spacing w:after="0" w:line="240" w:lineRule="auto"/>
        <w:jc w:val="both"/>
        <w:rPr>
          <w:sz w:val="20"/>
          <w:szCs w:val="20"/>
        </w:rPr>
      </w:pPr>
    </w:p>
    <w:p w:rsidR="00A61D4C" w:rsidRPr="00A61D4C" w:rsidRDefault="00A61D4C" w:rsidP="00A61D4C">
      <w:pPr>
        <w:spacing w:after="0" w:line="240" w:lineRule="auto"/>
        <w:jc w:val="both"/>
        <w:rPr>
          <w:sz w:val="20"/>
          <w:szCs w:val="20"/>
        </w:rPr>
      </w:pPr>
      <w:r w:rsidRPr="00A61D4C">
        <w:rPr>
          <w:sz w:val="20"/>
          <w:szCs w:val="20"/>
        </w:rPr>
        <w:t>1. In der Reise- Rücktrittskosten- und Reiseabbruch-Versicherung muss der Versicherungsnehmer bei einem Abbruch der Reise wegen einer "unerwartet schweren Erkrankung" eines Reiseteilnehmers nachweisen, dass bei diesem ein regelwidriger und behandlungsbedürftiger Zustand vorlag, der einen solchen Schweregrad erreichte, dass der Antritt bzw. die Fortsetzung der Reise bei objektiver Betrachtung nicht mehr zumutbar war.</w:t>
      </w:r>
    </w:p>
    <w:p w:rsidR="00A61D4C" w:rsidRPr="00A61D4C" w:rsidRDefault="00A61D4C" w:rsidP="00A61D4C">
      <w:pPr>
        <w:spacing w:after="0" w:line="240" w:lineRule="auto"/>
        <w:jc w:val="both"/>
        <w:rPr>
          <w:sz w:val="20"/>
          <w:szCs w:val="20"/>
        </w:rPr>
      </w:pPr>
      <w:r w:rsidRPr="00A61D4C">
        <w:rPr>
          <w:sz w:val="20"/>
          <w:szCs w:val="20"/>
        </w:rPr>
        <w:t>2. Dieser Nachweis ist bei einem Verlassen des Kreuzfahrtschiffes vor dem Ablegen wegen einer behaupteten Panikattacke des mitreisenden Kindes nicht geführt, wenn ein Schiffsarzt nicht herbeigerufen wurde, auch anschließend keine ärztliche Hilfe in Anspruch genommen wurde, dem Hausarzt erst nach behauptetem Abklingen Symptome einer solchen geschildert werden und auch die Vernehmung der Reisteilnehmer als Zeugen und die Einholung eines Sachverständigengutachtens keine hinreichend sicheren Symptome für die Einordnung des Verhaltens des Kindes als Panikattacke ergeben.</w:t>
      </w:r>
    </w:p>
    <w:p w:rsidR="00A61D4C" w:rsidRDefault="00A61D4C" w:rsidP="00A61D4C">
      <w:pPr>
        <w:spacing w:after="0" w:line="240" w:lineRule="auto"/>
        <w:jc w:val="both"/>
        <w:rPr>
          <w:sz w:val="20"/>
          <w:szCs w:val="20"/>
        </w:rPr>
      </w:pPr>
    </w:p>
    <w:p w:rsidR="00A61D4C" w:rsidRDefault="00A61D4C" w:rsidP="00A61D4C">
      <w:pPr>
        <w:spacing w:after="0" w:line="240" w:lineRule="auto"/>
        <w:jc w:val="both"/>
        <w:rPr>
          <w:sz w:val="20"/>
          <w:szCs w:val="20"/>
        </w:rPr>
      </w:pPr>
    </w:p>
    <w:p w:rsidR="00A61D4C" w:rsidRDefault="00A61D4C" w:rsidP="00A61D4C">
      <w:pPr>
        <w:spacing w:after="0" w:line="240" w:lineRule="auto"/>
        <w:jc w:val="both"/>
        <w:rPr>
          <w:sz w:val="20"/>
          <w:szCs w:val="20"/>
        </w:rPr>
      </w:pPr>
    </w:p>
    <w:p w:rsidR="00A61D4C" w:rsidRDefault="00A61D4C" w:rsidP="00A61D4C">
      <w:pPr>
        <w:spacing w:after="0" w:line="240" w:lineRule="auto"/>
        <w:jc w:val="both"/>
        <w:rPr>
          <w:sz w:val="20"/>
          <w:szCs w:val="20"/>
        </w:rPr>
      </w:pPr>
    </w:p>
    <w:p w:rsidR="00A61D4C" w:rsidRDefault="00A61D4C" w:rsidP="00A61D4C">
      <w:pPr>
        <w:spacing w:after="0" w:line="240" w:lineRule="auto"/>
        <w:rPr>
          <w:sz w:val="20"/>
          <w:szCs w:val="20"/>
        </w:rPr>
      </w:pPr>
      <w:r>
        <w:rPr>
          <w:sz w:val="20"/>
          <w:szCs w:val="20"/>
        </w:rPr>
        <w:t>Für Rückfragen stehe ich Ihnen gerne zur Verfügung.</w:t>
      </w:r>
    </w:p>
    <w:p w:rsidR="00A61D4C" w:rsidRDefault="00A61D4C" w:rsidP="00A61D4C">
      <w:pPr>
        <w:spacing w:after="0" w:line="240" w:lineRule="auto"/>
        <w:rPr>
          <w:sz w:val="20"/>
          <w:szCs w:val="20"/>
        </w:rPr>
      </w:pPr>
    </w:p>
    <w:p w:rsidR="00A61D4C" w:rsidRDefault="00A61D4C" w:rsidP="00A61D4C">
      <w:pPr>
        <w:spacing w:after="0" w:line="240" w:lineRule="auto"/>
        <w:rPr>
          <w:sz w:val="20"/>
          <w:szCs w:val="20"/>
        </w:rPr>
      </w:pPr>
      <w:r>
        <w:rPr>
          <w:sz w:val="20"/>
          <w:szCs w:val="20"/>
        </w:rPr>
        <w:t>Michael Henn</w:t>
      </w:r>
    </w:p>
    <w:p w:rsidR="00A61D4C" w:rsidRDefault="00A61D4C" w:rsidP="00A61D4C">
      <w:pPr>
        <w:spacing w:after="0" w:line="240" w:lineRule="auto"/>
        <w:rPr>
          <w:sz w:val="20"/>
          <w:szCs w:val="20"/>
        </w:rPr>
      </w:pPr>
      <w:r>
        <w:rPr>
          <w:sz w:val="20"/>
          <w:szCs w:val="20"/>
        </w:rPr>
        <w:t>Rechtsanwalt</w:t>
      </w:r>
    </w:p>
    <w:p w:rsidR="00A61D4C" w:rsidRDefault="00A61D4C" w:rsidP="00A61D4C">
      <w:pPr>
        <w:spacing w:after="0" w:line="240" w:lineRule="auto"/>
        <w:rPr>
          <w:sz w:val="20"/>
          <w:szCs w:val="20"/>
        </w:rPr>
      </w:pPr>
      <w:r>
        <w:rPr>
          <w:sz w:val="20"/>
          <w:szCs w:val="20"/>
        </w:rPr>
        <w:t>Fachanwalt für Erbrecht</w:t>
      </w:r>
    </w:p>
    <w:p w:rsidR="00A61D4C" w:rsidRDefault="00A61D4C" w:rsidP="00A61D4C">
      <w:pPr>
        <w:spacing w:after="0" w:line="240" w:lineRule="auto"/>
        <w:rPr>
          <w:sz w:val="20"/>
          <w:szCs w:val="20"/>
        </w:rPr>
      </w:pPr>
      <w:r>
        <w:rPr>
          <w:sz w:val="20"/>
          <w:szCs w:val="20"/>
        </w:rPr>
        <w:t xml:space="preserve">Fachanwalt für Arbeitsrecht </w:t>
      </w:r>
    </w:p>
    <w:p w:rsidR="00A61D4C" w:rsidRDefault="00A61D4C" w:rsidP="00A61D4C">
      <w:pPr>
        <w:spacing w:after="0" w:line="240" w:lineRule="auto"/>
        <w:rPr>
          <w:sz w:val="20"/>
          <w:szCs w:val="20"/>
        </w:rPr>
      </w:pPr>
      <w:r>
        <w:rPr>
          <w:sz w:val="20"/>
          <w:szCs w:val="20"/>
        </w:rPr>
        <w:t xml:space="preserve">Schriftleiter mittelstandsdepesche </w:t>
      </w:r>
    </w:p>
    <w:p w:rsidR="00A61D4C" w:rsidRDefault="00A61D4C" w:rsidP="00A61D4C">
      <w:pPr>
        <w:spacing w:after="0" w:line="240" w:lineRule="auto"/>
        <w:rPr>
          <w:sz w:val="20"/>
          <w:szCs w:val="20"/>
        </w:rPr>
      </w:pPr>
      <w:r>
        <w:rPr>
          <w:sz w:val="20"/>
          <w:szCs w:val="20"/>
        </w:rPr>
        <w:t>Rechtsanwälte Dr. Gaupp &amp; Coll.</w:t>
      </w:r>
    </w:p>
    <w:p w:rsidR="00A61D4C" w:rsidRDefault="00A61D4C" w:rsidP="00A61D4C">
      <w:pPr>
        <w:spacing w:after="0" w:line="240" w:lineRule="auto"/>
        <w:rPr>
          <w:sz w:val="20"/>
          <w:szCs w:val="20"/>
        </w:rPr>
      </w:pPr>
      <w:r>
        <w:rPr>
          <w:sz w:val="20"/>
          <w:szCs w:val="20"/>
        </w:rPr>
        <w:t xml:space="preserve">Kronprinzstr. 14 </w:t>
      </w:r>
    </w:p>
    <w:p w:rsidR="00A61D4C" w:rsidRDefault="00A61D4C" w:rsidP="00A61D4C">
      <w:pPr>
        <w:spacing w:after="0" w:line="240" w:lineRule="auto"/>
        <w:rPr>
          <w:sz w:val="20"/>
          <w:szCs w:val="20"/>
        </w:rPr>
      </w:pPr>
      <w:r>
        <w:rPr>
          <w:sz w:val="20"/>
          <w:szCs w:val="20"/>
        </w:rPr>
        <w:t>70173 Stuttgart</w:t>
      </w:r>
    </w:p>
    <w:p w:rsidR="00A61D4C" w:rsidRDefault="00A61D4C" w:rsidP="00A61D4C">
      <w:pPr>
        <w:spacing w:after="0" w:line="240" w:lineRule="auto"/>
        <w:rPr>
          <w:sz w:val="20"/>
          <w:szCs w:val="20"/>
        </w:rPr>
      </w:pPr>
      <w:r>
        <w:rPr>
          <w:sz w:val="20"/>
          <w:szCs w:val="20"/>
        </w:rPr>
        <w:t>Tel.: 0711/ 30 58 93-0</w:t>
      </w:r>
      <w:r>
        <w:rPr>
          <w:sz w:val="20"/>
          <w:szCs w:val="20"/>
        </w:rPr>
        <w:tab/>
      </w:r>
      <w:r>
        <w:rPr>
          <w:sz w:val="20"/>
          <w:szCs w:val="20"/>
        </w:rPr>
        <w:tab/>
        <w:t>Fax: 0711/ 30 58 93-11</w:t>
      </w:r>
    </w:p>
    <w:p w:rsidR="00A61D4C" w:rsidRDefault="00A61D4C" w:rsidP="00A61D4C">
      <w:pPr>
        <w:spacing w:after="0" w:line="240" w:lineRule="auto"/>
        <w:rPr>
          <w:sz w:val="20"/>
          <w:szCs w:val="20"/>
        </w:rPr>
      </w:pPr>
      <w:r>
        <w:rPr>
          <w:sz w:val="20"/>
          <w:szCs w:val="20"/>
        </w:rPr>
        <w:t>e-Mail: henn@drgaupp.de</w:t>
      </w:r>
      <w:r>
        <w:rPr>
          <w:sz w:val="20"/>
          <w:szCs w:val="20"/>
        </w:rPr>
        <w:tab/>
        <w:t>www.drgaupp.de</w:t>
      </w:r>
    </w:p>
    <w:p w:rsidR="00A61D4C" w:rsidRDefault="00A61D4C" w:rsidP="00A61D4C">
      <w:pPr>
        <w:spacing w:after="0" w:line="240" w:lineRule="auto"/>
        <w:rPr>
          <w:sz w:val="20"/>
          <w:szCs w:val="20"/>
        </w:rPr>
      </w:pPr>
    </w:p>
    <w:p w:rsidR="00A61D4C" w:rsidRPr="00A61D4C" w:rsidRDefault="00A61D4C" w:rsidP="00A61D4C">
      <w:pPr>
        <w:spacing w:after="0" w:line="240" w:lineRule="auto"/>
        <w:jc w:val="both"/>
        <w:rPr>
          <w:sz w:val="20"/>
          <w:szCs w:val="20"/>
        </w:rPr>
      </w:pPr>
    </w:p>
    <w:sectPr w:rsidR="00A61D4C" w:rsidRPr="00A61D4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B21" w:rsidRDefault="003F0B21" w:rsidP="00673E11">
      <w:pPr>
        <w:spacing w:after="0" w:line="240" w:lineRule="auto"/>
      </w:pPr>
      <w:r>
        <w:separator/>
      </w:r>
    </w:p>
  </w:endnote>
  <w:endnote w:type="continuationSeparator" w:id="0">
    <w:p w:rsidR="003F0B21" w:rsidRDefault="003F0B21" w:rsidP="0067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B21" w:rsidRDefault="003F0B21" w:rsidP="00673E11">
      <w:pPr>
        <w:spacing w:after="0" w:line="240" w:lineRule="auto"/>
      </w:pPr>
      <w:r>
        <w:separator/>
      </w:r>
    </w:p>
  </w:footnote>
  <w:footnote w:type="continuationSeparator" w:id="0">
    <w:p w:rsidR="003F0B21" w:rsidRDefault="003F0B21" w:rsidP="00673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11" w:rsidRPr="00852CC4" w:rsidRDefault="00673E11" w:rsidP="00673E11">
    <w:pPr>
      <w:tabs>
        <w:tab w:val="center" w:pos="4819"/>
        <w:tab w:val="right" w:pos="9071"/>
      </w:tabs>
      <w:jc w:val="center"/>
      <w:rPr>
        <w:rFonts w:cs="Arial"/>
        <w:szCs w:val="20"/>
        <w:lang w:eastAsia="de-DE"/>
      </w:rPr>
    </w:pPr>
    <w:r w:rsidRPr="00852CC4">
      <w:rPr>
        <w:rFonts w:cs="Arial"/>
        <w:b/>
        <w:bCs/>
        <w:sz w:val="28"/>
        <w:szCs w:val="28"/>
        <w:lang w:eastAsia="de-DE"/>
      </w:rPr>
      <w:t xml:space="preserve">mittelstandsdepesche </w:t>
    </w:r>
    <w:r>
      <w:rPr>
        <w:rFonts w:cs="Arial"/>
        <w:b/>
        <w:bCs/>
        <w:sz w:val="28"/>
        <w:szCs w:val="28"/>
        <w:lang w:eastAsia="de-DE"/>
      </w:rPr>
      <w:t>0</w:t>
    </w:r>
    <w:r w:rsidRPr="00852CC4">
      <w:rPr>
        <w:rFonts w:cs="Arial"/>
        <w:b/>
        <w:bCs/>
        <w:sz w:val="28"/>
        <w:szCs w:val="28"/>
        <w:lang w:eastAsia="de-DE"/>
      </w:rPr>
      <w:t>1-201</w:t>
    </w:r>
    <w:r>
      <w:rPr>
        <w:rFonts w:cs="Arial"/>
        <w:b/>
        <w:bCs/>
        <w:sz w:val="28"/>
        <w:szCs w:val="28"/>
        <w:lang w:eastAsia="de-DE"/>
      </w:rPr>
      <w:t>8</w:t>
    </w:r>
  </w:p>
  <w:p w:rsidR="00673E11" w:rsidRDefault="00673E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38BD"/>
    <w:multiLevelType w:val="multilevel"/>
    <w:tmpl w:val="D3C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843BF"/>
    <w:multiLevelType w:val="multilevel"/>
    <w:tmpl w:val="5DC6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64109"/>
    <w:multiLevelType w:val="multilevel"/>
    <w:tmpl w:val="68B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E5E04"/>
    <w:multiLevelType w:val="multilevel"/>
    <w:tmpl w:val="399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82126"/>
    <w:multiLevelType w:val="multilevel"/>
    <w:tmpl w:val="DF3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F07BD"/>
    <w:multiLevelType w:val="multilevel"/>
    <w:tmpl w:val="2F14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77"/>
    <w:rsid w:val="0007604A"/>
    <w:rsid w:val="00145F82"/>
    <w:rsid w:val="002D6EAF"/>
    <w:rsid w:val="00324BCB"/>
    <w:rsid w:val="00366F61"/>
    <w:rsid w:val="003F0B21"/>
    <w:rsid w:val="00490DA3"/>
    <w:rsid w:val="004E4735"/>
    <w:rsid w:val="00554308"/>
    <w:rsid w:val="00590077"/>
    <w:rsid w:val="00646E96"/>
    <w:rsid w:val="00673E11"/>
    <w:rsid w:val="00787724"/>
    <w:rsid w:val="007A23EC"/>
    <w:rsid w:val="00852CC4"/>
    <w:rsid w:val="008D4C84"/>
    <w:rsid w:val="00A61D4C"/>
    <w:rsid w:val="00A914A3"/>
    <w:rsid w:val="00B94A82"/>
    <w:rsid w:val="00B96593"/>
    <w:rsid w:val="00CB7A29"/>
    <w:rsid w:val="00CD66D0"/>
    <w:rsid w:val="00D32887"/>
    <w:rsid w:val="00D46A08"/>
    <w:rsid w:val="00E730EA"/>
    <w:rsid w:val="00EC6D5D"/>
    <w:rsid w:val="00F27D17"/>
    <w:rsid w:val="00FD0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46CC6B-F313-421B-AF20-4BD2865E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2">
    <w:name w:val="heading 2"/>
    <w:basedOn w:val="Standard"/>
    <w:next w:val="Standard"/>
    <w:link w:val="berschrift2Zchn"/>
    <w:uiPriority w:val="9"/>
    <w:semiHidden/>
    <w:unhideWhenUsed/>
    <w:qFormat/>
    <w:rsid w:val="004E4735"/>
    <w:pPr>
      <w:keepNext/>
      <w:keepLines/>
      <w:spacing w:before="40" w:after="0"/>
      <w:outlineLvl w:val="1"/>
    </w:pPr>
    <w:rPr>
      <w:rFonts w:asciiTheme="majorHAnsi" w:eastAsiaTheme="majorEastAsia" w:hAnsiTheme="majorHAnsi"/>
      <w:color w:val="2E74B5" w:themeColor="accent1" w:themeShade="BF"/>
      <w:sz w:val="26"/>
      <w:szCs w:val="26"/>
    </w:rPr>
  </w:style>
  <w:style w:type="paragraph" w:styleId="berschrift3">
    <w:name w:val="heading 3"/>
    <w:basedOn w:val="Standard"/>
    <w:link w:val="berschrift3Zchn"/>
    <w:uiPriority w:val="9"/>
    <w:semiHidden/>
    <w:unhideWhenUsed/>
    <w:qFormat/>
    <w:rsid w:val="00590077"/>
    <w:pPr>
      <w:spacing w:after="75" w:line="240" w:lineRule="atLeast"/>
      <w:outlineLvl w:val="2"/>
    </w:pPr>
    <w:rPr>
      <w:rFonts w:ascii="Times New Roman" w:hAnsi="Times New Roman"/>
      <w:b/>
      <w:bCs/>
      <w:sz w:val="24"/>
      <w:szCs w:val="24"/>
      <w:lang w:eastAsia="de-DE"/>
    </w:rPr>
  </w:style>
  <w:style w:type="paragraph" w:styleId="berschrift4">
    <w:name w:val="heading 4"/>
    <w:basedOn w:val="Standard"/>
    <w:link w:val="berschrift4Zchn"/>
    <w:uiPriority w:val="9"/>
    <w:semiHidden/>
    <w:unhideWhenUsed/>
    <w:qFormat/>
    <w:rsid w:val="00590077"/>
    <w:pPr>
      <w:spacing w:after="150" w:line="240" w:lineRule="auto"/>
      <w:outlineLvl w:val="3"/>
    </w:pPr>
    <w:rPr>
      <w:rFonts w:ascii="Times New Roman" w:hAnsi="Times New Roman"/>
      <w:color w:val="666666"/>
      <w:sz w:val="21"/>
      <w:szCs w:val="21"/>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sid w:val="004E4735"/>
    <w:rPr>
      <w:rFonts w:asciiTheme="majorHAnsi" w:eastAsiaTheme="majorEastAsia" w:hAnsiTheme="majorHAnsi" w:cs="Times New Roman"/>
      <w:color w:val="2E74B5" w:themeColor="accent1" w:themeShade="BF"/>
      <w:sz w:val="26"/>
      <w:szCs w:val="26"/>
    </w:rPr>
  </w:style>
  <w:style w:type="character" w:customStyle="1" w:styleId="berschrift3Zchn">
    <w:name w:val="Überschrift 3 Zchn"/>
    <w:basedOn w:val="Absatz-Standardschriftart"/>
    <w:link w:val="berschrift3"/>
    <w:uiPriority w:val="9"/>
    <w:semiHidden/>
    <w:locked/>
    <w:rsid w:val="00590077"/>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590077"/>
    <w:rPr>
      <w:rFonts w:ascii="Times New Roman" w:hAnsi="Times New Roman" w:cs="Times New Roman"/>
      <w:color w:val="666666"/>
      <w:sz w:val="21"/>
      <w:szCs w:val="21"/>
      <w:lang w:val="x-none" w:eastAsia="de-DE"/>
    </w:rPr>
  </w:style>
  <w:style w:type="paragraph" w:styleId="Kopfzeile">
    <w:name w:val="header"/>
    <w:basedOn w:val="Standard"/>
    <w:link w:val="KopfzeileZchn"/>
    <w:uiPriority w:val="99"/>
    <w:unhideWhenUsed/>
    <w:rsid w:val="00673E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73E11"/>
    <w:rPr>
      <w:rFonts w:cs="Times New Roman"/>
    </w:rPr>
  </w:style>
  <w:style w:type="paragraph" w:styleId="Fuzeile">
    <w:name w:val="footer"/>
    <w:basedOn w:val="Standard"/>
    <w:link w:val="FuzeileZchn"/>
    <w:uiPriority w:val="99"/>
    <w:unhideWhenUsed/>
    <w:rsid w:val="00673E1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73E11"/>
    <w:rPr>
      <w:rFonts w:cs="Times New Roman"/>
    </w:rPr>
  </w:style>
  <w:style w:type="character" w:styleId="Hyperlink">
    <w:name w:val="Hyperlink"/>
    <w:basedOn w:val="Absatz-Standardschriftart"/>
    <w:uiPriority w:val="99"/>
    <w:semiHidden/>
    <w:unhideWhenUsed/>
    <w:rsid w:val="002D6EAF"/>
    <w:rPr>
      <w:rFonts w:cs="Times New Roman"/>
      <w:color w:val="0000FF"/>
      <w:u w:val="single"/>
    </w:rPr>
  </w:style>
  <w:style w:type="character" w:styleId="Fett">
    <w:name w:val="Strong"/>
    <w:basedOn w:val="Absatz-Standardschriftart"/>
    <w:uiPriority w:val="22"/>
    <w:qFormat/>
    <w:rsid w:val="004E4735"/>
    <w:rPr>
      <w:rFonts w:cs="Times New Roman"/>
      <w:b/>
      <w:bCs/>
    </w:rPr>
  </w:style>
  <w:style w:type="character" w:customStyle="1" w:styleId="doclink">
    <w:name w:val="doclink"/>
    <w:basedOn w:val="Absatz-Standardschriftart"/>
    <w:rsid w:val="004E4735"/>
    <w:rPr>
      <w:rFonts w:cs="Times New Roman"/>
    </w:rPr>
  </w:style>
  <w:style w:type="paragraph" w:styleId="StandardWeb">
    <w:name w:val="Normal (Web)"/>
    <w:basedOn w:val="Standard"/>
    <w:uiPriority w:val="99"/>
    <w:semiHidden/>
    <w:unhideWhenUsed/>
    <w:rsid w:val="004E4735"/>
    <w:pPr>
      <w:spacing w:before="100" w:beforeAutospacing="1" w:after="100" w:afterAutospacing="1" w:line="240" w:lineRule="auto"/>
    </w:pPr>
    <w:rPr>
      <w:rFonts w:ascii="Times New Roman" w:hAnsi="Times New Roman"/>
      <w:sz w:val="24"/>
      <w:szCs w:val="24"/>
      <w:lang w:eastAsia="de-DE"/>
    </w:rPr>
  </w:style>
  <w:style w:type="character" w:styleId="BesuchterLink">
    <w:name w:val="FollowedHyperlink"/>
    <w:basedOn w:val="Absatz-Standardschriftart"/>
    <w:uiPriority w:val="99"/>
    <w:semiHidden/>
    <w:unhideWhenUsed/>
    <w:rsid w:val="00145F82"/>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300807">
      <w:marLeft w:val="0"/>
      <w:marRight w:val="0"/>
      <w:marTop w:val="0"/>
      <w:marBottom w:val="0"/>
      <w:divBdr>
        <w:top w:val="none" w:sz="0" w:space="0" w:color="auto"/>
        <w:left w:val="none" w:sz="0" w:space="0" w:color="auto"/>
        <w:bottom w:val="none" w:sz="0" w:space="0" w:color="auto"/>
        <w:right w:val="none" w:sz="0" w:space="0" w:color="auto"/>
      </w:divBdr>
      <w:divsChild>
        <w:div w:id="1657300806">
          <w:marLeft w:val="0"/>
          <w:marRight w:val="0"/>
          <w:marTop w:val="0"/>
          <w:marBottom w:val="0"/>
          <w:divBdr>
            <w:top w:val="none" w:sz="0" w:space="0" w:color="auto"/>
            <w:left w:val="none" w:sz="0" w:space="0" w:color="auto"/>
            <w:bottom w:val="none" w:sz="0" w:space="0" w:color="auto"/>
            <w:right w:val="none" w:sz="0" w:space="0" w:color="auto"/>
          </w:divBdr>
          <w:divsChild>
            <w:div w:id="1657300808">
              <w:marLeft w:val="0"/>
              <w:marRight w:val="0"/>
              <w:marTop w:val="0"/>
              <w:marBottom w:val="0"/>
              <w:divBdr>
                <w:top w:val="none" w:sz="0" w:space="0" w:color="auto"/>
                <w:left w:val="none" w:sz="0" w:space="0" w:color="auto"/>
                <w:bottom w:val="none" w:sz="0" w:space="0" w:color="auto"/>
                <w:right w:val="none" w:sz="0" w:space="0" w:color="auto"/>
              </w:divBdr>
              <w:divsChild>
                <w:div w:id="1657300817">
                  <w:marLeft w:val="0"/>
                  <w:marRight w:val="0"/>
                  <w:marTop w:val="0"/>
                  <w:marBottom w:val="0"/>
                  <w:divBdr>
                    <w:top w:val="none" w:sz="0" w:space="0" w:color="auto"/>
                    <w:left w:val="none" w:sz="0" w:space="0" w:color="auto"/>
                    <w:bottom w:val="none" w:sz="0" w:space="0" w:color="auto"/>
                    <w:right w:val="none" w:sz="0" w:space="0" w:color="auto"/>
                  </w:divBdr>
                  <w:divsChild>
                    <w:div w:id="1657300834">
                      <w:marLeft w:val="0"/>
                      <w:marRight w:val="0"/>
                      <w:marTop w:val="0"/>
                      <w:marBottom w:val="0"/>
                      <w:divBdr>
                        <w:top w:val="none" w:sz="0" w:space="0" w:color="auto"/>
                        <w:left w:val="none" w:sz="0" w:space="0" w:color="auto"/>
                        <w:bottom w:val="none" w:sz="0" w:space="0" w:color="auto"/>
                        <w:right w:val="none" w:sz="0" w:space="0" w:color="auto"/>
                      </w:divBdr>
                    </w:div>
                  </w:divsChild>
                </w:div>
                <w:div w:id="16573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39">
          <w:marLeft w:val="0"/>
          <w:marRight w:val="0"/>
          <w:marTop w:val="0"/>
          <w:marBottom w:val="0"/>
          <w:divBdr>
            <w:top w:val="none" w:sz="0" w:space="0" w:color="auto"/>
            <w:left w:val="none" w:sz="0" w:space="0" w:color="auto"/>
            <w:bottom w:val="none" w:sz="0" w:space="0" w:color="auto"/>
            <w:right w:val="none" w:sz="0" w:space="0" w:color="auto"/>
          </w:divBdr>
          <w:divsChild>
            <w:div w:id="1657300854">
              <w:marLeft w:val="0"/>
              <w:marRight w:val="0"/>
              <w:marTop w:val="0"/>
              <w:marBottom w:val="0"/>
              <w:divBdr>
                <w:top w:val="none" w:sz="0" w:space="0" w:color="auto"/>
                <w:left w:val="none" w:sz="0" w:space="0" w:color="auto"/>
                <w:bottom w:val="none" w:sz="0" w:space="0" w:color="auto"/>
                <w:right w:val="none" w:sz="0" w:space="0" w:color="auto"/>
              </w:divBdr>
              <w:divsChild>
                <w:div w:id="16573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56">
          <w:marLeft w:val="0"/>
          <w:marRight w:val="0"/>
          <w:marTop w:val="0"/>
          <w:marBottom w:val="0"/>
          <w:divBdr>
            <w:top w:val="none" w:sz="0" w:space="0" w:color="auto"/>
            <w:left w:val="none" w:sz="0" w:space="0" w:color="auto"/>
            <w:bottom w:val="none" w:sz="0" w:space="0" w:color="auto"/>
            <w:right w:val="none" w:sz="0" w:space="0" w:color="auto"/>
          </w:divBdr>
        </w:div>
      </w:divsChild>
    </w:div>
    <w:div w:id="1657300811">
      <w:marLeft w:val="0"/>
      <w:marRight w:val="0"/>
      <w:marTop w:val="0"/>
      <w:marBottom w:val="0"/>
      <w:divBdr>
        <w:top w:val="none" w:sz="0" w:space="0" w:color="auto"/>
        <w:left w:val="none" w:sz="0" w:space="0" w:color="auto"/>
        <w:bottom w:val="none" w:sz="0" w:space="0" w:color="auto"/>
        <w:right w:val="none" w:sz="0" w:space="0" w:color="auto"/>
      </w:divBdr>
      <w:divsChild>
        <w:div w:id="1657300824">
          <w:marLeft w:val="0"/>
          <w:marRight w:val="0"/>
          <w:marTop w:val="0"/>
          <w:marBottom w:val="0"/>
          <w:divBdr>
            <w:top w:val="none" w:sz="0" w:space="0" w:color="auto"/>
            <w:left w:val="none" w:sz="0" w:space="0" w:color="auto"/>
            <w:bottom w:val="none" w:sz="0" w:space="0" w:color="auto"/>
            <w:right w:val="none" w:sz="0" w:space="0" w:color="auto"/>
          </w:divBdr>
        </w:div>
        <w:div w:id="1657300843">
          <w:marLeft w:val="0"/>
          <w:marRight w:val="0"/>
          <w:marTop w:val="0"/>
          <w:marBottom w:val="0"/>
          <w:divBdr>
            <w:top w:val="none" w:sz="0" w:space="0" w:color="auto"/>
            <w:left w:val="none" w:sz="0" w:space="0" w:color="auto"/>
            <w:bottom w:val="none" w:sz="0" w:space="0" w:color="auto"/>
            <w:right w:val="none" w:sz="0" w:space="0" w:color="auto"/>
          </w:divBdr>
          <w:divsChild>
            <w:div w:id="1657300815">
              <w:marLeft w:val="0"/>
              <w:marRight w:val="0"/>
              <w:marTop w:val="0"/>
              <w:marBottom w:val="0"/>
              <w:divBdr>
                <w:top w:val="none" w:sz="0" w:space="0" w:color="auto"/>
                <w:left w:val="none" w:sz="0" w:space="0" w:color="auto"/>
                <w:bottom w:val="none" w:sz="0" w:space="0" w:color="auto"/>
                <w:right w:val="none" w:sz="0" w:space="0" w:color="auto"/>
              </w:divBdr>
              <w:divsChild>
                <w:div w:id="1657300833">
                  <w:marLeft w:val="0"/>
                  <w:marRight w:val="0"/>
                  <w:marTop w:val="0"/>
                  <w:marBottom w:val="0"/>
                  <w:divBdr>
                    <w:top w:val="none" w:sz="0" w:space="0" w:color="auto"/>
                    <w:left w:val="none" w:sz="0" w:space="0" w:color="auto"/>
                    <w:bottom w:val="none" w:sz="0" w:space="0" w:color="auto"/>
                    <w:right w:val="none" w:sz="0" w:space="0" w:color="auto"/>
                  </w:divBdr>
                </w:div>
                <w:div w:id="1657300863">
                  <w:marLeft w:val="0"/>
                  <w:marRight w:val="0"/>
                  <w:marTop w:val="0"/>
                  <w:marBottom w:val="0"/>
                  <w:divBdr>
                    <w:top w:val="none" w:sz="0" w:space="0" w:color="auto"/>
                    <w:left w:val="none" w:sz="0" w:space="0" w:color="auto"/>
                    <w:bottom w:val="none" w:sz="0" w:space="0" w:color="auto"/>
                    <w:right w:val="none" w:sz="0" w:space="0" w:color="auto"/>
                  </w:divBdr>
                  <w:divsChild>
                    <w:div w:id="16573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16">
              <w:marLeft w:val="0"/>
              <w:marRight w:val="0"/>
              <w:marTop w:val="0"/>
              <w:marBottom w:val="0"/>
              <w:divBdr>
                <w:top w:val="none" w:sz="0" w:space="0" w:color="auto"/>
                <w:left w:val="none" w:sz="0" w:space="0" w:color="auto"/>
                <w:bottom w:val="none" w:sz="0" w:space="0" w:color="auto"/>
                <w:right w:val="none" w:sz="0" w:space="0" w:color="auto"/>
              </w:divBdr>
              <w:divsChild>
                <w:div w:id="1657300805">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1657300855">
          <w:marLeft w:val="0"/>
          <w:marRight w:val="0"/>
          <w:marTop w:val="0"/>
          <w:marBottom w:val="0"/>
          <w:divBdr>
            <w:top w:val="none" w:sz="0" w:space="0" w:color="auto"/>
            <w:left w:val="none" w:sz="0" w:space="0" w:color="auto"/>
            <w:bottom w:val="none" w:sz="0" w:space="0" w:color="auto"/>
            <w:right w:val="none" w:sz="0" w:space="0" w:color="auto"/>
          </w:divBdr>
          <w:divsChild>
            <w:div w:id="1657300845">
              <w:marLeft w:val="0"/>
              <w:marRight w:val="0"/>
              <w:marTop w:val="0"/>
              <w:marBottom w:val="0"/>
              <w:divBdr>
                <w:top w:val="none" w:sz="0" w:space="0" w:color="auto"/>
                <w:left w:val="none" w:sz="0" w:space="0" w:color="auto"/>
                <w:bottom w:val="none" w:sz="0" w:space="0" w:color="auto"/>
                <w:right w:val="none" w:sz="0" w:space="0" w:color="auto"/>
              </w:divBdr>
              <w:divsChild>
                <w:div w:id="1657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00812">
      <w:marLeft w:val="0"/>
      <w:marRight w:val="0"/>
      <w:marTop w:val="0"/>
      <w:marBottom w:val="0"/>
      <w:divBdr>
        <w:top w:val="none" w:sz="0" w:space="0" w:color="auto"/>
        <w:left w:val="none" w:sz="0" w:space="0" w:color="auto"/>
        <w:bottom w:val="none" w:sz="0" w:space="0" w:color="auto"/>
        <w:right w:val="none" w:sz="0" w:space="0" w:color="auto"/>
      </w:divBdr>
      <w:divsChild>
        <w:div w:id="1657300804">
          <w:marLeft w:val="0"/>
          <w:marRight w:val="0"/>
          <w:marTop w:val="0"/>
          <w:marBottom w:val="0"/>
          <w:divBdr>
            <w:top w:val="none" w:sz="0" w:space="0" w:color="auto"/>
            <w:left w:val="none" w:sz="0" w:space="0" w:color="auto"/>
            <w:bottom w:val="none" w:sz="0" w:space="0" w:color="auto"/>
            <w:right w:val="none" w:sz="0" w:space="0" w:color="auto"/>
          </w:divBdr>
          <w:divsChild>
            <w:div w:id="1657300809">
              <w:marLeft w:val="0"/>
              <w:marRight w:val="0"/>
              <w:marTop w:val="0"/>
              <w:marBottom w:val="0"/>
              <w:divBdr>
                <w:top w:val="none" w:sz="0" w:space="0" w:color="auto"/>
                <w:left w:val="none" w:sz="0" w:space="0" w:color="auto"/>
                <w:bottom w:val="none" w:sz="0" w:space="0" w:color="auto"/>
                <w:right w:val="none" w:sz="0" w:space="0" w:color="auto"/>
              </w:divBdr>
              <w:divsChild>
                <w:div w:id="1657300831">
                  <w:marLeft w:val="-300"/>
                  <w:marRight w:val="0"/>
                  <w:marTop w:val="60"/>
                  <w:marBottom w:val="0"/>
                  <w:divBdr>
                    <w:top w:val="none" w:sz="0" w:space="0" w:color="auto"/>
                    <w:left w:val="none" w:sz="0" w:space="0" w:color="auto"/>
                    <w:bottom w:val="none" w:sz="0" w:space="0" w:color="auto"/>
                    <w:right w:val="none" w:sz="0" w:space="0" w:color="auto"/>
                  </w:divBdr>
                </w:div>
              </w:divsChild>
            </w:div>
            <w:div w:id="1657300864">
              <w:marLeft w:val="0"/>
              <w:marRight w:val="0"/>
              <w:marTop w:val="0"/>
              <w:marBottom w:val="0"/>
              <w:divBdr>
                <w:top w:val="none" w:sz="0" w:space="0" w:color="auto"/>
                <w:left w:val="none" w:sz="0" w:space="0" w:color="auto"/>
                <w:bottom w:val="none" w:sz="0" w:space="0" w:color="auto"/>
                <w:right w:val="none" w:sz="0" w:space="0" w:color="auto"/>
              </w:divBdr>
              <w:divsChild>
                <w:div w:id="1657300848">
                  <w:marLeft w:val="0"/>
                  <w:marRight w:val="0"/>
                  <w:marTop w:val="0"/>
                  <w:marBottom w:val="0"/>
                  <w:divBdr>
                    <w:top w:val="none" w:sz="0" w:space="0" w:color="auto"/>
                    <w:left w:val="none" w:sz="0" w:space="0" w:color="auto"/>
                    <w:bottom w:val="none" w:sz="0" w:space="0" w:color="auto"/>
                    <w:right w:val="none" w:sz="0" w:space="0" w:color="auto"/>
                  </w:divBdr>
                  <w:divsChild>
                    <w:div w:id="1657300819">
                      <w:marLeft w:val="0"/>
                      <w:marRight w:val="0"/>
                      <w:marTop w:val="0"/>
                      <w:marBottom w:val="0"/>
                      <w:divBdr>
                        <w:top w:val="none" w:sz="0" w:space="0" w:color="auto"/>
                        <w:left w:val="none" w:sz="0" w:space="0" w:color="auto"/>
                        <w:bottom w:val="none" w:sz="0" w:space="0" w:color="auto"/>
                        <w:right w:val="none" w:sz="0" w:space="0" w:color="auto"/>
                      </w:divBdr>
                    </w:div>
                  </w:divsChild>
                </w:div>
                <w:div w:id="16573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28">
          <w:marLeft w:val="0"/>
          <w:marRight w:val="0"/>
          <w:marTop w:val="0"/>
          <w:marBottom w:val="0"/>
          <w:divBdr>
            <w:top w:val="none" w:sz="0" w:space="0" w:color="auto"/>
            <w:left w:val="none" w:sz="0" w:space="0" w:color="auto"/>
            <w:bottom w:val="none" w:sz="0" w:space="0" w:color="auto"/>
            <w:right w:val="none" w:sz="0" w:space="0" w:color="auto"/>
          </w:divBdr>
          <w:divsChild>
            <w:div w:id="1657300867">
              <w:marLeft w:val="0"/>
              <w:marRight w:val="0"/>
              <w:marTop w:val="0"/>
              <w:marBottom w:val="0"/>
              <w:divBdr>
                <w:top w:val="none" w:sz="0" w:space="0" w:color="auto"/>
                <w:left w:val="none" w:sz="0" w:space="0" w:color="auto"/>
                <w:bottom w:val="none" w:sz="0" w:space="0" w:color="auto"/>
                <w:right w:val="none" w:sz="0" w:space="0" w:color="auto"/>
              </w:divBdr>
              <w:divsChild>
                <w:div w:id="16573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68">
          <w:marLeft w:val="0"/>
          <w:marRight w:val="0"/>
          <w:marTop w:val="0"/>
          <w:marBottom w:val="0"/>
          <w:divBdr>
            <w:top w:val="none" w:sz="0" w:space="0" w:color="auto"/>
            <w:left w:val="none" w:sz="0" w:space="0" w:color="auto"/>
            <w:bottom w:val="none" w:sz="0" w:space="0" w:color="auto"/>
            <w:right w:val="none" w:sz="0" w:space="0" w:color="auto"/>
          </w:divBdr>
        </w:div>
      </w:divsChild>
    </w:div>
    <w:div w:id="1657300820">
      <w:marLeft w:val="0"/>
      <w:marRight w:val="0"/>
      <w:marTop w:val="0"/>
      <w:marBottom w:val="0"/>
      <w:divBdr>
        <w:top w:val="none" w:sz="0" w:space="0" w:color="auto"/>
        <w:left w:val="none" w:sz="0" w:space="0" w:color="auto"/>
        <w:bottom w:val="none" w:sz="0" w:space="0" w:color="auto"/>
        <w:right w:val="none" w:sz="0" w:space="0" w:color="auto"/>
      </w:divBdr>
      <w:divsChild>
        <w:div w:id="1657300813">
          <w:marLeft w:val="0"/>
          <w:marRight w:val="0"/>
          <w:marTop w:val="0"/>
          <w:marBottom w:val="0"/>
          <w:divBdr>
            <w:top w:val="none" w:sz="0" w:space="0" w:color="auto"/>
            <w:left w:val="none" w:sz="0" w:space="0" w:color="auto"/>
            <w:bottom w:val="none" w:sz="0" w:space="0" w:color="auto"/>
            <w:right w:val="none" w:sz="0" w:space="0" w:color="auto"/>
          </w:divBdr>
        </w:div>
        <w:div w:id="1657300840">
          <w:marLeft w:val="0"/>
          <w:marRight w:val="0"/>
          <w:marTop w:val="0"/>
          <w:marBottom w:val="0"/>
          <w:divBdr>
            <w:top w:val="none" w:sz="0" w:space="0" w:color="auto"/>
            <w:left w:val="none" w:sz="0" w:space="0" w:color="auto"/>
            <w:bottom w:val="none" w:sz="0" w:space="0" w:color="auto"/>
            <w:right w:val="none" w:sz="0" w:space="0" w:color="auto"/>
          </w:divBdr>
          <w:divsChild>
            <w:div w:id="1657300836">
              <w:marLeft w:val="0"/>
              <w:marRight w:val="0"/>
              <w:marTop w:val="0"/>
              <w:marBottom w:val="0"/>
              <w:divBdr>
                <w:top w:val="none" w:sz="0" w:space="0" w:color="auto"/>
                <w:left w:val="none" w:sz="0" w:space="0" w:color="auto"/>
                <w:bottom w:val="none" w:sz="0" w:space="0" w:color="auto"/>
                <w:right w:val="none" w:sz="0" w:space="0" w:color="auto"/>
              </w:divBdr>
              <w:divsChild>
                <w:div w:id="1657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57">
          <w:marLeft w:val="0"/>
          <w:marRight w:val="0"/>
          <w:marTop w:val="0"/>
          <w:marBottom w:val="0"/>
          <w:divBdr>
            <w:top w:val="none" w:sz="0" w:space="0" w:color="auto"/>
            <w:left w:val="none" w:sz="0" w:space="0" w:color="auto"/>
            <w:bottom w:val="none" w:sz="0" w:space="0" w:color="auto"/>
            <w:right w:val="none" w:sz="0" w:space="0" w:color="auto"/>
          </w:divBdr>
          <w:divsChild>
            <w:div w:id="1657300842">
              <w:marLeft w:val="0"/>
              <w:marRight w:val="0"/>
              <w:marTop w:val="0"/>
              <w:marBottom w:val="0"/>
              <w:divBdr>
                <w:top w:val="none" w:sz="0" w:space="0" w:color="auto"/>
                <w:left w:val="none" w:sz="0" w:space="0" w:color="auto"/>
                <w:bottom w:val="none" w:sz="0" w:space="0" w:color="auto"/>
                <w:right w:val="none" w:sz="0" w:space="0" w:color="auto"/>
              </w:divBdr>
              <w:divsChild>
                <w:div w:id="1657300846">
                  <w:marLeft w:val="0"/>
                  <w:marRight w:val="0"/>
                  <w:marTop w:val="0"/>
                  <w:marBottom w:val="0"/>
                  <w:divBdr>
                    <w:top w:val="none" w:sz="0" w:space="0" w:color="auto"/>
                    <w:left w:val="none" w:sz="0" w:space="0" w:color="auto"/>
                    <w:bottom w:val="none" w:sz="0" w:space="0" w:color="auto"/>
                    <w:right w:val="none" w:sz="0" w:space="0" w:color="auto"/>
                  </w:divBdr>
                </w:div>
                <w:div w:id="1657300866">
                  <w:marLeft w:val="0"/>
                  <w:marRight w:val="0"/>
                  <w:marTop w:val="0"/>
                  <w:marBottom w:val="0"/>
                  <w:divBdr>
                    <w:top w:val="none" w:sz="0" w:space="0" w:color="auto"/>
                    <w:left w:val="none" w:sz="0" w:space="0" w:color="auto"/>
                    <w:bottom w:val="none" w:sz="0" w:space="0" w:color="auto"/>
                    <w:right w:val="none" w:sz="0" w:space="0" w:color="auto"/>
                  </w:divBdr>
                  <w:divsChild>
                    <w:div w:id="16573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300821">
      <w:marLeft w:val="0"/>
      <w:marRight w:val="0"/>
      <w:marTop w:val="0"/>
      <w:marBottom w:val="0"/>
      <w:divBdr>
        <w:top w:val="none" w:sz="0" w:space="0" w:color="auto"/>
        <w:left w:val="none" w:sz="0" w:space="0" w:color="auto"/>
        <w:bottom w:val="none" w:sz="0" w:space="0" w:color="auto"/>
        <w:right w:val="none" w:sz="0" w:space="0" w:color="auto"/>
      </w:divBdr>
    </w:div>
    <w:div w:id="1657300823">
      <w:marLeft w:val="0"/>
      <w:marRight w:val="0"/>
      <w:marTop w:val="0"/>
      <w:marBottom w:val="0"/>
      <w:divBdr>
        <w:top w:val="none" w:sz="0" w:space="0" w:color="auto"/>
        <w:left w:val="none" w:sz="0" w:space="0" w:color="auto"/>
        <w:bottom w:val="none" w:sz="0" w:space="0" w:color="auto"/>
        <w:right w:val="none" w:sz="0" w:space="0" w:color="auto"/>
      </w:divBdr>
      <w:divsChild>
        <w:div w:id="1657300826">
          <w:marLeft w:val="0"/>
          <w:marRight w:val="0"/>
          <w:marTop w:val="0"/>
          <w:marBottom w:val="0"/>
          <w:divBdr>
            <w:top w:val="none" w:sz="0" w:space="0" w:color="auto"/>
            <w:left w:val="none" w:sz="0" w:space="0" w:color="auto"/>
            <w:bottom w:val="none" w:sz="0" w:space="0" w:color="auto"/>
            <w:right w:val="none" w:sz="0" w:space="0" w:color="auto"/>
          </w:divBdr>
          <w:divsChild>
            <w:div w:id="1657300825">
              <w:marLeft w:val="0"/>
              <w:marRight w:val="0"/>
              <w:marTop w:val="0"/>
              <w:marBottom w:val="0"/>
              <w:divBdr>
                <w:top w:val="none" w:sz="0" w:space="0" w:color="auto"/>
                <w:left w:val="none" w:sz="0" w:space="0" w:color="auto"/>
                <w:bottom w:val="none" w:sz="0" w:space="0" w:color="auto"/>
                <w:right w:val="none" w:sz="0" w:space="0" w:color="auto"/>
              </w:divBdr>
              <w:divsChild>
                <w:div w:id="1657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37">
          <w:marLeft w:val="0"/>
          <w:marRight w:val="0"/>
          <w:marTop w:val="0"/>
          <w:marBottom w:val="0"/>
          <w:divBdr>
            <w:top w:val="none" w:sz="0" w:space="0" w:color="auto"/>
            <w:left w:val="none" w:sz="0" w:space="0" w:color="auto"/>
            <w:bottom w:val="none" w:sz="0" w:space="0" w:color="auto"/>
            <w:right w:val="none" w:sz="0" w:space="0" w:color="auto"/>
          </w:divBdr>
          <w:divsChild>
            <w:div w:id="1657300859">
              <w:marLeft w:val="0"/>
              <w:marRight w:val="0"/>
              <w:marTop w:val="0"/>
              <w:marBottom w:val="0"/>
              <w:divBdr>
                <w:top w:val="none" w:sz="0" w:space="0" w:color="auto"/>
                <w:left w:val="none" w:sz="0" w:space="0" w:color="auto"/>
                <w:bottom w:val="none" w:sz="0" w:space="0" w:color="auto"/>
                <w:right w:val="none" w:sz="0" w:space="0" w:color="auto"/>
              </w:divBdr>
              <w:divsChild>
                <w:div w:id="1657300801">
                  <w:marLeft w:val="-300"/>
                  <w:marRight w:val="0"/>
                  <w:marTop w:val="60"/>
                  <w:marBottom w:val="0"/>
                  <w:divBdr>
                    <w:top w:val="none" w:sz="0" w:space="0" w:color="auto"/>
                    <w:left w:val="none" w:sz="0" w:space="0" w:color="auto"/>
                    <w:bottom w:val="none" w:sz="0" w:space="0" w:color="auto"/>
                    <w:right w:val="none" w:sz="0" w:space="0" w:color="auto"/>
                  </w:divBdr>
                </w:div>
              </w:divsChild>
            </w:div>
            <w:div w:id="1657300860">
              <w:marLeft w:val="0"/>
              <w:marRight w:val="0"/>
              <w:marTop w:val="0"/>
              <w:marBottom w:val="0"/>
              <w:divBdr>
                <w:top w:val="none" w:sz="0" w:space="0" w:color="auto"/>
                <w:left w:val="none" w:sz="0" w:space="0" w:color="auto"/>
                <w:bottom w:val="none" w:sz="0" w:space="0" w:color="auto"/>
                <w:right w:val="none" w:sz="0" w:space="0" w:color="auto"/>
              </w:divBdr>
              <w:divsChild>
                <w:div w:id="1657300838">
                  <w:marLeft w:val="0"/>
                  <w:marRight w:val="0"/>
                  <w:marTop w:val="0"/>
                  <w:marBottom w:val="0"/>
                  <w:divBdr>
                    <w:top w:val="none" w:sz="0" w:space="0" w:color="auto"/>
                    <w:left w:val="none" w:sz="0" w:space="0" w:color="auto"/>
                    <w:bottom w:val="none" w:sz="0" w:space="0" w:color="auto"/>
                    <w:right w:val="none" w:sz="0" w:space="0" w:color="auto"/>
                  </w:divBdr>
                  <w:divsChild>
                    <w:div w:id="1657300858">
                      <w:marLeft w:val="0"/>
                      <w:marRight w:val="0"/>
                      <w:marTop w:val="0"/>
                      <w:marBottom w:val="0"/>
                      <w:divBdr>
                        <w:top w:val="none" w:sz="0" w:space="0" w:color="auto"/>
                        <w:left w:val="none" w:sz="0" w:space="0" w:color="auto"/>
                        <w:bottom w:val="none" w:sz="0" w:space="0" w:color="auto"/>
                        <w:right w:val="none" w:sz="0" w:space="0" w:color="auto"/>
                      </w:divBdr>
                    </w:div>
                  </w:divsChild>
                </w:div>
                <w:div w:id="1657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69">
          <w:marLeft w:val="0"/>
          <w:marRight w:val="0"/>
          <w:marTop w:val="0"/>
          <w:marBottom w:val="0"/>
          <w:divBdr>
            <w:top w:val="none" w:sz="0" w:space="0" w:color="auto"/>
            <w:left w:val="none" w:sz="0" w:space="0" w:color="auto"/>
            <w:bottom w:val="none" w:sz="0" w:space="0" w:color="auto"/>
            <w:right w:val="none" w:sz="0" w:space="0" w:color="auto"/>
          </w:divBdr>
        </w:div>
      </w:divsChild>
    </w:div>
    <w:div w:id="1657300827">
      <w:marLeft w:val="0"/>
      <w:marRight w:val="0"/>
      <w:marTop w:val="0"/>
      <w:marBottom w:val="0"/>
      <w:divBdr>
        <w:top w:val="none" w:sz="0" w:space="0" w:color="auto"/>
        <w:left w:val="none" w:sz="0" w:space="0" w:color="auto"/>
        <w:bottom w:val="none" w:sz="0" w:space="0" w:color="auto"/>
        <w:right w:val="none" w:sz="0" w:space="0" w:color="auto"/>
      </w:divBdr>
    </w:div>
    <w:div w:id="1657300852">
      <w:marLeft w:val="0"/>
      <w:marRight w:val="0"/>
      <w:marTop w:val="0"/>
      <w:marBottom w:val="0"/>
      <w:divBdr>
        <w:top w:val="none" w:sz="0" w:space="0" w:color="auto"/>
        <w:left w:val="none" w:sz="0" w:space="0" w:color="auto"/>
        <w:bottom w:val="none" w:sz="0" w:space="0" w:color="auto"/>
        <w:right w:val="none" w:sz="0" w:space="0" w:color="auto"/>
      </w:divBdr>
    </w:div>
    <w:div w:id="1657300862">
      <w:marLeft w:val="0"/>
      <w:marRight w:val="0"/>
      <w:marTop w:val="0"/>
      <w:marBottom w:val="0"/>
      <w:divBdr>
        <w:top w:val="none" w:sz="0" w:space="0" w:color="auto"/>
        <w:left w:val="none" w:sz="0" w:space="0" w:color="auto"/>
        <w:bottom w:val="none" w:sz="0" w:space="0" w:color="auto"/>
        <w:right w:val="none" w:sz="0" w:space="0" w:color="auto"/>
      </w:divBdr>
      <w:divsChild>
        <w:div w:id="1657300803">
          <w:marLeft w:val="0"/>
          <w:marRight w:val="0"/>
          <w:marTop w:val="0"/>
          <w:marBottom w:val="0"/>
          <w:divBdr>
            <w:top w:val="none" w:sz="0" w:space="0" w:color="auto"/>
            <w:left w:val="none" w:sz="0" w:space="0" w:color="auto"/>
            <w:bottom w:val="none" w:sz="0" w:space="0" w:color="auto"/>
            <w:right w:val="none" w:sz="0" w:space="0" w:color="auto"/>
          </w:divBdr>
          <w:divsChild>
            <w:div w:id="1657300835">
              <w:marLeft w:val="0"/>
              <w:marRight w:val="0"/>
              <w:marTop w:val="0"/>
              <w:marBottom w:val="0"/>
              <w:divBdr>
                <w:top w:val="none" w:sz="0" w:space="0" w:color="auto"/>
                <w:left w:val="none" w:sz="0" w:space="0" w:color="auto"/>
                <w:bottom w:val="none" w:sz="0" w:space="0" w:color="auto"/>
                <w:right w:val="none" w:sz="0" w:space="0" w:color="auto"/>
              </w:divBdr>
              <w:divsChild>
                <w:div w:id="1657300841">
                  <w:marLeft w:val="0"/>
                  <w:marRight w:val="0"/>
                  <w:marTop w:val="0"/>
                  <w:marBottom w:val="0"/>
                  <w:divBdr>
                    <w:top w:val="none" w:sz="0" w:space="0" w:color="auto"/>
                    <w:left w:val="none" w:sz="0" w:space="0" w:color="auto"/>
                    <w:bottom w:val="none" w:sz="0" w:space="0" w:color="auto"/>
                    <w:right w:val="none" w:sz="0" w:space="0" w:color="auto"/>
                  </w:divBdr>
                </w:div>
                <w:div w:id="1657300870">
                  <w:marLeft w:val="0"/>
                  <w:marRight w:val="0"/>
                  <w:marTop w:val="0"/>
                  <w:marBottom w:val="0"/>
                  <w:divBdr>
                    <w:top w:val="none" w:sz="0" w:space="0" w:color="auto"/>
                    <w:left w:val="none" w:sz="0" w:space="0" w:color="auto"/>
                    <w:bottom w:val="none" w:sz="0" w:space="0" w:color="auto"/>
                    <w:right w:val="none" w:sz="0" w:space="0" w:color="auto"/>
                  </w:divBdr>
                  <w:divsChild>
                    <w:div w:id="16573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844">
              <w:marLeft w:val="0"/>
              <w:marRight w:val="0"/>
              <w:marTop w:val="0"/>
              <w:marBottom w:val="0"/>
              <w:divBdr>
                <w:top w:val="none" w:sz="0" w:space="0" w:color="auto"/>
                <w:left w:val="none" w:sz="0" w:space="0" w:color="auto"/>
                <w:bottom w:val="none" w:sz="0" w:space="0" w:color="auto"/>
                <w:right w:val="none" w:sz="0" w:space="0" w:color="auto"/>
              </w:divBdr>
              <w:divsChild>
                <w:div w:id="1657300818">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1657300830">
          <w:marLeft w:val="0"/>
          <w:marRight w:val="0"/>
          <w:marTop w:val="0"/>
          <w:marBottom w:val="0"/>
          <w:divBdr>
            <w:top w:val="none" w:sz="0" w:space="0" w:color="auto"/>
            <w:left w:val="none" w:sz="0" w:space="0" w:color="auto"/>
            <w:bottom w:val="none" w:sz="0" w:space="0" w:color="auto"/>
            <w:right w:val="none" w:sz="0" w:space="0" w:color="auto"/>
          </w:divBdr>
        </w:div>
        <w:div w:id="1657300851">
          <w:marLeft w:val="0"/>
          <w:marRight w:val="0"/>
          <w:marTop w:val="0"/>
          <w:marBottom w:val="0"/>
          <w:divBdr>
            <w:top w:val="none" w:sz="0" w:space="0" w:color="auto"/>
            <w:left w:val="none" w:sz="0" w:space="0" w:color="auto"/>
            <w:bottom w:val="none" w:sz="0" w:space="0" w:color="auto"/>
            <w:right w:val="none" w:sz="0" w:space="0" w:color="auto"/>
          </w:divBdr>
          <w:divsChild>
            <w:div w:id="1657300871">
              <w:marLeft w:val="0"/>
              <w:marRight w:val="0"/>
              <w:marTop w:val="0"/>
              <w:marBottom w:val="0"/>
              <w:divBdr>
                <w:top w:val="none" w:sz="0" w:space="0" w:color="auto"/>
                <w:left w:val="none" w:sz="0" w:space="0" w:color="auto"/>
                <w:bottom w:val="none" w:sz="0" w:space="0" w:color="auto"/>
                <w:right w:val="none" w:sz="0" w:space="0" w:color="auto"/>
              </w:divBdr>
              <w:divsChild>
                <w:div w:id="16573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00872">
      <w:marLeft w:val="0"/>
      <w:marRight w:val="0"/>
      <w:marTop w:val="0"/>
      <w:marBottom w:val="0"/>
      <w:divBdr>
        <w:top w:val="none" w:sz="0" w:space="0" w:color="auto"/>
        <w:left w:val="none" w:sz="0" w:space="0" w:color="auto"/>
        <w:bottom w:val="none" w:sz="0" w:space="0" w:color="auto"/>
        <w:right w:val="none" w:sz="0" w:space="0" w:color="auto"/>
      </w:divBdr>
    </w:div>
    <w:div w:id="1657300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stiz.nrw.de/nrwe/arbgs/hamm/lag_hamm/j2017/6_Sa_620_17_Urteil_201711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A1ED3FE1.dotm</Template>
  <TotalTime>0</TotalTime>
  <Pages>4</Pages>
  <Words>1121</Words>
  <Characters>7069</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2018-02-01T08:29:00Z</dcterms:created>
  <dcterms:modified xsi:type="dcterms:W3CDTF">2018-02-01T08:29:00Z</dcterms:modified>
</cp:coreProperties>
</file>