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D8" w:rsidRPr="00837FBF" w:rsidRDefault="003B40D8" w:rsidP="003B40D8">
      <w:pPr>
        <w:tabs>
          <w:tab w:val="center" w:pos="4536"/>
          <w:tab w:val="right" w:pos="9072"/>
        </w:tabs>
        <w:spacing w:after="0"/>
        <w:jc w:val="right"/>
        <w:rPr>
          <w:rFonts w:ascii="Calibri" w:hAnsi="Calibri"/>
        </w:rPr>
      </w:pPr>
      <w:bookmarkStart w:id="0" w:name="_GoBack"/>
      <w:bookmarkEnd w:id="0"/>
      <w:r w:rsidRPr="00837FBF">
        <w:rPr>
          <w:rFonts w:cs="Arial"/>
          <w:b/>
          <w:bCs/>
          <w:sz w:val="40"/>
          <w:szCs w:val="40"/>
        </w:rPr>
        <w:t>DASV</w:t>
      </w:r>
    </w:p>
    <w:p w:rsidR="003B40D8" w:rsidRPr="00837FBF" w:rsidRDefault="003B40D8" w:rsidP="003B40D8">
      <w:pPr>
        <w:spacing w:after="0"/>
        <w:jc w:val="right"/>
        <w:rPr>
          <w:rFonts w:cs="Arial"/>
          <w:sz w:val="20"/>
          <w:szCs w:val="20"/>
        </w:rPr>
      </w:pPr>
      <w:bookmarkStart w:id="1" w:name="2"/>
      <w:bookmarkStart w:id="2" w:name="9"/>
      <w:bookmarkEnd w:id="1"/>
      <w:bookmarkEnd w:id="2"/>
      <w:r w:rsidRPr="00837FBF">
        <w:rPr>
          <w:rFonts w:cs="Arial"/>
          <w:sz w:val="20"/>
          <w:szCs w:val="20"/>
        </w:rPr>
        <w:t>Deutsche Anwalts- und</w:t>
      </w:r>
    </w:p>
    <w:p w:rsidR="003B40D8" w:rsidRPr="00837FBF" w:rsidRDefault="003B40D8" w:rsidP="003B40D8">
      <w:pPr>
        <w:spacing w:after="0"/>
        <w:jc w:val="right"/>
        <w:rPr>
          <w:rFonts w:cs="Arial"/>
          <w:sz w:val="20"/>
          <w:szCs w:val="20"/>
        </w:rPr>
      </w:pPr>
      <w:r w:rsidRPr="00837FBF">
        <w:rPr>
          <w:rFonts w:cs="Arial"/>
          <w:sz w:val="20"/>
          <w:szCs w:val="20"/>
        </w:rPr>
        <w:t>Steuerberatervereinigung</w:t>
      </w:r>
    </w:p>
    <w:p w:rsidR="003B40D8" w:rsidRDefault="003B40D8" w:rsidP="003B40D8">
      <w:pPr>
        <w:spacing w:after="0"/>
        <w:jc w:val="right"/>
        <w:rPr>
          <w:rFonts w:cs="Arial"/>
          <w:sz w:val="20"/>
          <w:szCs w:val="20"/>
        </w:rPr>
      </w:pPr>
      <w:r w:rsidRPr="00837FBF">
        <w:rPr>
          <w:rFonts w:cs="Arial"/>
          <w:sz w:val="20"/>
          <w:szCs w:val="20"/>
        </w:rPr>
        <w:t>für die mittelständische</w:t>
      </w:r>
    </w:p>
    <w:p w:rsidR="003B40D8" w:rsidRPr="00837FBF" w:rsidRDefault="003B40D8" w:rsidP="003B40D8">
      <w:pPr>
        <w:spacing w:after="0"/>
        <w:jc w:val="right"/>
        <w:rPr>
          <w:rFonts w:cs="Arial"/>
        </w:rPr>
      </w:pPr>
      <w:r>
        <w:rPr>
          <w:rFonts w:cs="Arial"/>
          <w:sz w:val="20"/>
          <w:szCs w:val="20"/>
        </w:rPr>
        <w:tab/>
      </w:r>
      <w:r w:rsidRPr="00837FBF">
        <w:rPr>
          <w:rFonts w:cs="Arial"/>
          <w:sz w:val="20"/>
          <w:szCs w:val="20"/>
        </w:rPr>
        <w:t>Wirtschaft e. V.</w:t>
      </w:r>
    </w:p>
    <w:p w:rsidR="003B40D8" w:rsidRPr="00837FBF" w:rsidRDefault="003B40D8" w:rsidP="003B40D8">
      <w:pPr>
        <w:spacing w:after="0" w:line="240" w:lineRule="auto"/>
        <w:jc w:val="center"/>
        <w:rPr>
          <w:rFonts w:cs="Arial"/>
          <w:b/>
          <w:bCs/>
          <w:sz w:val="20"/>
          <w:szCs w:val="20"/>
          <w:lang w:eastAsia="de-DE"/>
        </w:rPr>
      </w:pPr>
    </w:p>
    <w:p w:rsidR="003B40D8" w:rsidRPr="00837FBF" w:rsidRDefault="003B40D8" w:rsidP="003B40D8">
      <w:pPr>
        <w:spacing w:after="0" w:line="240" w:lineRule="auto"/>
        <w:jc w:val="center"/>
        <w:rPr>
          <w:rFonts w:cs="Arial"/>
          <w:b/>
          <w:bCs/>
          <w:sz w:val="20"/>
          <w:szCs w:val="20"/>
          <w:lang w:eastAsia="de-DE"/>
        </w:rPr>
      </w:pPr>
      <w:r w:rsidRPr="00837FBF">
        <w:rPr>
          <w:rFonts w:cs="Arial"/>
          <w:b/>
          <w:bCs/>
          <w:sz w:val="20"/>
          <w:szCs w:val="20"/>
          <w:lang w:eastAsia="de-DE"/>
        </w:rPr>
        <w:t>10 Urteile, die Ihre Leser interessieren könnten</w:t>
      </w:r>
    </w:p>
    <w:p w:rsidR="003B40D8" w:rsidRPr="00837FBF" w:rsidRDefault="003B40D8" w:rsidP="003B40D8">
      <w:pPr>
        <w:spacing w:after="0" w:line="240" w:lineRule="auto"/>
        <w:jc w:val="center"/>
        <w:rPr>
          <w:rFonts w:cs="Arial"/>
          <w:b/>
          <w:bCs/>
          <w:sz w:val="20"/>
          <w:szCs w:val="20"/>
          <w:lang w:eastAsia="de-DE"/>
        </w:rPr>
      </w:pPr>
    </w:p>
    <w:p w:rsidR="003B40D8" w:rsidRPr="00837FBF" w:rsidRDefault="003B40D8" w:rsidP="003B40D8">
      <w:pPr>
        <w:spacing w:after="0" w:line="240" w:lineRule="auto"/>
        <w:jc w:val="center"/>
        <w:rPr>
          <w:rFonts w:cs="Arial"/>
          <w:sz w:val="20"/>
          <w:szCs w:val="20"/>
          <w:lang w:eastAsia="de-DE"/>
        </w:rPr>
      </w:pPr>
      <w:r w:rsidRPr="00837FBF">
        <w:rPr>
          <w:rFonts w:cs="Arial"/>
          <w:sz w:val="20"/>
          <w:szCs w:val="20"/>
          <w:lang w:eastAsia="de-DE"/>
        </w:rPr>
        <w:t>zusammengestellt von Rechtsanwalt/Fachanwalt für Arbeitsrecht u. Fachanwalt für Erbrecht</w:t>
      </w:r>
    </w:p>
    <w:p w:rsidR="003B40D8" w:rsidRPr="00837FBF" w:rsidRDefault="003B40D8" w:rsidP="003B40D8">
      <w:pPr>
        <w:spacing w:before="60" w:after="15"/>
        <w:ind w:right="540"/>
        <w:jc w:val="center"/>
        <w:rPr>
          <w:rFonts w:cs="Arial"/>
          <w:bCs/>
          <w:sz w:val="20"/>
          <w:szCs w:val="20"/>
        </w:rPr>
      </w:pPr>
      <w:r w:rsidRPr="00837FBF">
        <w:rPr>
          <w:rFonts w:cs="Arial"/>
          <w:bCs/>
          <w:sz w:val="20"/>
          <w:szCs w:val="20"/>
        </w:rPr>
        <w:t>Michael Henn, Stuttgart</w:t>
      </w:r>
    </w:p>
    <w:p w:rsidR="00D32887" w:rsidRPr="003B40D8" w:rsidRDefault="00D32887" w:rsidP="003B40D8">
      <w:pPr>
        <w:spacing w:after="0" w:line="240" w:lineRule="auto"/>
        <w:rPr>
          <w:rFonts w:cs="Arial"/>
          <w:sz w:val="20"/>
          <w:szCs w:val="20"/>
        </w:rPr>
      </w:pPr>
    </w:p>
    <w:p w:rsidR="00220EA1" w:rsidRPr="003B40D8" w:rsidRDefault="003B40D8" w:rsidP="003B40D8">
      <w:pPr>
        <w:spacing w:after="0" w:line="240" w:lineRule="auto"/>
        <w:jc w:val="center"/>
        <w:rPr>
          <w:rFonts w:cs="Arial"/>
          <w:b/>
          <w:sz w:val="20"/>
          <w:szCs w:val="20"/>
        </w:rPr>
      </w:pPr>
      <w:r w:rsidRPr="003B40D8">
        <w:rPr>
          <w:rFonts w:cs="Arial"/>
          <w:b/>
          <w:sz w:val="20"/>
          <w:szCs w:val="20"/>
        </w:rPr>
        <w:t>I.</w:t>
      </w:r>
    </w:p>
    <w:p w:rsidR="003B40D8" w:rsidRPr="003B40D8" w:rsidRDefault="003B40D8" w:rsidP="003B40D8">
      <w:pPr>
        <w:spacing w:after="0" w:line="240" w:lineRule="auto"/>
        <w:jc w:val="center"/>
        <w:rPr>
          <w:rFonts w:cs="Arial"/>
          <w:b/>
          <w:sz w:val="20"/>
          <w:szCs w:val="20"/>
          <w:lang w:eastAsia="de-DE"/>
        </w:rPr>
      </w:pPr>
      <w:r w:rsidRPr="003B40D8">
        <w:rPr>
          <w:rFonts w:cs="Arial"/>
          <w:b/>
          <w:sz w:val="20"/>
          <w:szCs w:val="20"/>
          <w:lang w:eastAsia="de-DE"/>
        </w:rPr>
        <w:t xml:space="preserve">Berücksichtigung eines fehlenden Präventionsverfahrens nach </w:t>
      </w:r>
      <w:hyperlink r:id="rId6" w:anchor="focuspoint" w:history="1">
        <w:r w:rsidRPr="003B40D8">
          <w:rPr>
            <w:rFonts w:cs="Arial"/>
            <w:b/>
            <w:sz w:val="20"/>
            <w:szCs w:val="20"/>
            <w:lang w:eastAsia="de-DE"/>
          </w:rPr>
          <w:t>§ 84 Abs. 1 SGB 9</w:t>
        </w:r>
      </w:hyperlink>
      <w:r w:rsidRPr="003B40D8">
        <w:rPr>
          <w:rFonts w:cs="Arial"/>
          <w:b/>
          <w:sz w:val="20"/>
          <w:szCs w:val="20"/>
          <w:lang w:eastAsia="de-DE"/>
        </w:rPr>
        <w:t xml:space="preserve"> bei der Zustimmung zur Kündigung nach </w:t>
      </w:r>
      <w:hyperlink r:id="rId7" w:anchor="focuspoint" w:history="1">
        <w:r w:rsidRPr="003B40D8">
          <w:rPr>
            <w:rFonts w:cs="Arial"/>
            <w:b/>
            <w:sz w:val="20"/>
            <w:szCs w:val="20"/>
            <w:lang w:eastAsia="de-DE"/>
          </w:rPr>
          <w:t>§§ 85 ff. SGB 9</w:t>
        </w:r>
      </w:hyperlink>
    </w:p>
    <w:p w:rsidR="003B40D8" w:rsidRPr="003B40D8" w:rsidRDefault="003B40D8" w:rsidP="003B40D8">
      <w:pPr>
        <w:spacing w:after="0" w:line="240" w:lineRule="auto"/>
        <w:jc w:val="center"/>
        <w:rPr>
          <w:rFonts w:cs="Arial"/>
          <w:sz w:val="20"/>
          <w:szCs w:val="20"/>
          <w:lang w:eastAsia="de-DE"/>
        </w:rPr>
      </w:pPr>
      <w:r w:rsidRPr="003B40D8">
        <w:rPr>
          <w:rFonts w:cs="Arial"/>
          <w:sz w:val="20"/>
          <w:szCs w:val="20"/>
          <w:lang w:eastAsia="de-DE"/>
        </w:rPr>
        <w:t>VG Hannover, Beschluss vom 05. April 2017, Az. 3 A 4948/16</w:t>
      </w:r>
    </w:p>
    <w:p w:rsidR="003B40D8" w:rsidRPr="003B40D8" w:rsidRDefault="003B40D8" w:rsidP="003B40D8">
      <w:pPr>
        <w:spacing w:after="0" w:line="240" w:lineRule="auto"/>
        <w:rPr>
          <w:rFonts w:cs="Arial"/>
          <w:sz w:val="20"/>
          <w:szCs w:val="20"/>
          <w:lang w:eastAsia="de-DE"/>
        </w:rPr>
      </w:pPr>
    </w:p>
    <w:p w:rsidR="003B40D8" w:rsidRDefault="003B40D8" w:rsidP="003B40D8">
      <w:pPr>
        <w:spacing w:after="0" w:line="240" w:lineRule="auto"/>
        <w:jc w:val="both"/>
        <w:rPr>
          <w:rFonts w:cs="Arial"/>
          <w:sz w:val="20"/>
          <w:szCs w:val="20"/>
          <w:lang w:eastAsia="de-DE"/>
        </w:rPr>
      </w:pPr>
      <w:r w:rsidRPr="003B40D8">
        <w:rPr>
          <w:rFonts w:cs="Arial"/>
          <w:sz w:val="20"/>
          <w:szCs w:val="20"/>
          <w:lang w:eastAsia="de-DE"/>
        </w:rPr>
        <w:t xml:space="preserve">1. Das Integrationsamt hat auch bei einer beabsichtigten betriebsbedingten Kündigung das Fehlen eines Präventionsverfahrens nach </w:t>
      </w:r>
      <w:hyperlink r:id="rId8" w:anchor="focuspoint" w:history="1">
        <w:r w:rsidRPr="003B40D8">
          <w:rPr>
            <w:rFonts w:cs="Arial"/>
            <w:sz w:val="20"/>
            <w:szCs w:val="20"/>
            <w:lang w:eastAsia="de-DE"/>
          </w:rPr>
          <w:t>§ 84 Abs. 1 SGB IX</w:t>
        </w:r>
      </w:hyperlink>
      <w:r w:rsidRPr="003B40D8">
        <w:rPr>
          <w:rFonts w:cs="Arial"/>
          <w:sz w:val="20"/>
          <w:szCs w:val="20"/>
          <w:lang w:eastAsia="de-DE"/>
        </w:rPr>
        <w:t xml:space="preserve"> (juris: SGB 9) grundsätzlich bei der Entscheidungsfindung zu berücksichtigen.</w:t>
      </w:r>
      <w:bookmarkStart w:id="3" w:name="_retrdlink_5"/>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"https://www.juris.de/jportal/portal/t/cj9/page/jurisw.psml?pid=Dokumentanzeige&amp;showdoccase=1&amp;js_peid=Trefferliste&amp;documentnumber=26&amp;numberofresults=1408&amp;fromdoctodoc=yes&amp;doc.id=MWRE170005672&amp;doc.part=L&amp;doc.price=0.0&amp;doc.hl=1" \l "rd_5"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(Rn.5)</w:t>
      </w:r>
      <w:r w:rsidRPr="003B40D8">
        <w:rPr>
          <w:rFonts w:cs="Arial"/>
          <w:sz w:val="20"/>
          <w:szCs w:val="20"/>
          <w:lang w:eastAsia="de-DE"/>
        </w:rPr>
        <w:fldChar w:fldCharType="end"/>
      </w:r>
      <w:bookmarkEnd w:id="3"/>
    </w:p>
    <w:p w:rsidR="003B40D8" w:rsidRDefault="003B40D8" w:rsidP="003B40D8">
      <w:pPr>
        <w:spacing w:after="0" w:line="240" w:lineRule="auto"/>
        <w:jc w:val="both"/>
        <w:rPr>
          <w:rFonts w:cs="Arial"/>
          <w:sz w:val="20"/>
          <w:szCs w:val="20"/>
          <w:lang w:eastAsia="de-DE"/>
        </w:rPr>
      </w:pPr>
      <w:r w:rsidRPr="003B40D8">
        <w:rPr>
          <w:rFonts w:cs="Arial"/>
          <w:sz w:val="20"/>
          <w:szCs w:val="20"/>
          <w:lang w:eastAsia="de-DE"/>
        </w:rPr>
        <w:t>2. Unterlässt es das Integrationsamt, das Fehlen eines Präventionsverfahrens im Rahmen seiner Ermessensentscheidung zu würdigen, ist seine Entscheidung grundsätzlich ermessensfehlerhaft und damit rechtswidrig.</w:t>
      </w:r>
      <w:bookmarkStart w:id="4" w:name="_retrdlink_6"/>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"https://www.juris.de/jportal/portal/t/cj9/page/jurisw.psml?pid=Dokumentanzeige&amp;showdoccase=1&amp;js_peid=Trefferliste&amp;documentnumber=26&amp;numberofresults=1408&amp;fromdoctodoc=yes&amp;doc.id=MWRE170005672&amp;doc.part=L&amp;doc.price=0.0&amp;doc.hl=1" \l "rd_6"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(Rn.6)</w:t>
      </w:r>
      <w:r w:rsidRPr="003B40D8">
        <w:rPr>
          <w:rFonts w:cs="Arial"/>
          <w:sz w:val="20"/>
          <w:szCs w:val="20"/>
          <w:lang w:eastAsia="de-DE"/>
        </w:rPr>
        <w:fldChar w:fldCharType="end"/>
      </w:r>
      <w:bookmarkEnd w:id="4"/>
    </w:p>
    <w:p w:rsidR="003B40D8" w:rsidRPr="003B40D8" w:rsidRDefault="003B40D8" w:rsidP="003B40D8">
      <w:pPr>
        <w:spacing w:after="0" w:line="240" w:lineRule="auto"/>
        <w:jc w:val="both"/>
        <w:rPr>
          <w:rFonts w:cs="Arial"/>
          <w:sz w:val="20"/>
          <w:szCs w:val="20"/>
          <w:lang w:eastAsia="de-DE"/>
        </w:rPr>
      </w:pPr>
      <w:r w:rsidRPr="003B40D8">
        <w:rPr>
          <w:rFonts w:cs="Arial"/>
          <w:sz w:val="20"/>
          <w:szCs w:val="20"/>
          <w:lang w:eastAsia="de-DE"/>
        </w:rPr>
        <w:t>3. Soll die beabsichtigte betriebsbedingte Kündigung wegen einer (vom Arbeitgeber behaupteten) Betriebsstilllegung erfolgen, führt der Umstand, dass das Integrationsamt das Fehlen eines Präventionsverfahrens im Rahmen seiner Ermessensentscheidung nicht gewürdigt hat, ausnahmsweise nicht zur Rechtswidrigkeit der erteilten Zustimmung.</w:t>
      </w:r>
      <w:bookmarkStart w:id="5" w:name="_retrdlink_7"/>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"https://www.juris.de/jportal/portal/t/cj9/page/jurisw.psml?pid=Dokumentanzeige&amp;showdoccase=1&amp;js_peid=Trefferliste&amp;documentnumber=26&amp;numberofresults=1408&amp;fromdoctodoc=yes&amp;doc.id=MWRE170005672&amp;doc.part=L&amp;doc.price=0.0&amp;doc.hl=1" \l "rd_7"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(Rn.7)</w:t>
      </w:r>
      <w:r w:rsidRPr="003B40D8">
        <w:rPr>
          <w:rFonts w:cs="Arial"/>
          <w:sz w:val="20"/>
          <w:szCs w:val="20"/>
          <w:lang w:eastAsia="de-DE"/>
        </w:rPr>
        <w:fldChar w:fldCharType="end"/>
      </w:r>
      <w:bookmarkEnd w:id="5"/>
    </w:p>
    <w:p w:rsidR="003B40D8" w:rsidRPr="003B40D8" w:rsidRDefault="003B40D8" w:rsidP="003B40D8">
      <w:pPr>
        <w:spacing w:after="0" w:line="240" w:lineRule="auto"/>
        <w:rPr>
          <w:rFonts w:cs="Arial"/>
          <w:sz w:val="20"/>
          <w:szCs w:val="20"/>
        </w:rPr>
      </w:pPr>
    </w:p>
    <w:p w:rsidR="00220EA1" w:rsidRPr="003B40D8" w:rsidRDefault="003B40D8" w:rsidP="003B40D8">
      <w:pPr>
        <w:tabs>
          <w:tab w:val="left" w:pos="810"/>
        </w:tabs>
        <w:spacing w:after="0" w:line="240" w:lineRule="auto"/>
        <w:jc w:val="center"/>
        <w:rPr>
          <w:rFonts w:cs="Arial"/>
          <w:b/>
          <w:bCs/>
          <w:sz w:val="20"/>
          <w:szCs w:val="20"/>
          <w:lang w:eastAsia="de-DE"/>
        </w:rPr>
      </w:pPr>
      <w:bookmarkStart w:id="6" w:name="DocInhalt"/>
      <w:bookmarkEnd w:id="6"/>
      <w:r w:rsidRPr="003B40D8">
        <w:rPr>
          <w:rFonts w:cs="Arial"/>
          <w:b/>
          <w:bCs/>
          <w:sz w:val="20"/>
          <w:szCs w:val="20"/>
          <w:lang w:eastAsia="de-DE"/>
        </w:rPr>
        <w:t>II.</w:t>
      </w:r>
    </w:p>
    <w:p w:rsidR="003B40D8" w:rsidRPr="003B40D8" w:rsidRDefault="003B40D8" w:rsidP="003B40D8">
      <w:pPr>
        <w:spacing w:after="0" w:line="240" w:lineRule="auto"/>
        <w:jc w:val="center"/>
        <w:rPr>
          <w:rFonts w:cs="Arial"/>
          <w:b/>
          <w:sz w:val="20"/>
          <w:szCs w:val="20"/>
          <w:lang w:eastAsia="de-DE"/>
        </w:rPr>
      </w:pPr>
      <w:r w:rsidRPr="003B40D8">
        <w:rPr>
          <w:rFonts w:cs="Arial"/>
          <w:b/>
          <w:sz w:val="20"/>
          <w:szCs w:val="20"/>
          <w:lang w:eastAsia="de-DE"/>
        </w:rPr>
        <w:t>Wirksamkeit von Bearbeitungsentgelten in AGB in Darlehensverträgen mit Unternehmern</w:t>
      </w:r>
    </w:p>
    <w:p w:rsidR="00220EA1" w:rsidRDefault="003B40D8" w:rsidP="003B40D8">
      <w:pPr>
        <w:spacing w:after="0" w:line="240" w:lineRule="auto"/>
        <w:jc w:val="center"/>
        <w:rPr>
          <w:rFonts w:cs="Arial"/>
          <w:sz w:val="20"/>
          <w:szCs w:val="20"/>
          <w:lang w:eastAsia="de-DE"/>
        </w:rPr>
      </w:pPr>
      <w:r w:rsidRPr="003B40D8">
        <w:rPr>
          <w:rFonts w:cs="Arial"/>
          <w:sz w:val="20"/>
          <w:szCs w:val="20"/>
          <w:lang w:eastAsia="de-DE"/>
        </w:rPr>
        <w:t>Hanseatisches O</w:t>
      </w:r>
      <w:r>
        <w:rPr>
          <w:rFonts w:cs="Arial"/>
          <w:sz w:val="20"/>
          <w:szCs w:val="20"/>
          <w:lang w:eastAsia="de-DE"/>
        </w:rPr>
        <w:t>LG</w:t>
      </w:r>
      <w:r w:rsidRPr="003B40D8">
        <w:rPr>
          <w:rFonts w:cs="Arial"/>
          <w:sz w:val="20"/>
          <w:szCs w:val="20"/>
          <w:lang w:eastAsia="de-DE"/>
        </w:rPr>
        <w:t xml:space="preserve"> </w:t>
      </w:r>
      <w:r>
        <w:rPr>
          <w:rFonts w:cs="Arial"/>
          <w:sz w:val="20"/>
          <w:szCs w:val="20"/>
          <w:lang w:eastAsia="de-DE"/>
        </w:rPr>
        <w:t>Bremen, Urteil vom 17. Mai 2017Az.</w:t>
      </w:r>
      <w:r w:rsidRPr="003B40D8">
        <w:rPr>
          <w:rFonts w:cs="Arial"/>
          <w:sz w:val="20"/>
          <w:szCs w:val="20"/>
          <w:lang w:eastAsia="de-DE"/>
        </w:rPr>
        <w:t xml:space="preserve"> 1 U 70/16</w:t>
      </w:r>
    </w:p>
    <w:p w:rsidR="003B40D8" w:rsidRDefault="003B40D8" w:rsidP="003B40D8">
      <w:pPr>
        <w:spacing w:after="0" w:line="240" w:lineRule="auto"/>
        <w:rPr>
          <w:rFonts w:cs="Arial"/>
          <w:sz w:val="20"/>
          <w:szCs w:val="20"/>
          <w:lang w:eastAsia="de-DE"/>
        </w:rPr>
      </w:pPr>
    </w:p>
    <w:p w:rsidR="003B40D8" w:rsidRPr="003B40D8" w:rsidRDefault="003B40D8" w:rsidP="00B75A98">
      <w:pPr>
        <w:spacing w:after="0" w:line="240" w:lineRule="auto"/>
        <w:jc w:val="both"/>
        <w:rPr>
          <w:rFonts w:cs="Arial"/>
          <w:sz w:val="20"/>
          <w:szCs w:val="20"/>
          <w:lang w:eastAsia="de-DE"/>
        </w:rPr>
      </w:pPr>
      <w:r w:rsidRPr="003B40D8">
        <w:rPr>
          <w:rFonts w:cs="Arial"/>
          <w:sz w:val="20"/>
          <w:szCs w:val="20"/>
          <w:lang w:eastAsia="de-DE"/>
        </w:rPr>
        <w:t xml:space="preserve">1. Die Vereinbarung eines Bearbeitungsentgelts durch Allgemeine Geschäftsbedingungen in einem Darlehensvertrag ist auch im unternehmerischen Verkehr nach </w:t>
      </w:r>
      <w:hyperlink r:id="rId9" w:anchor="focuspoint" w:history="1">
        <w:r w:rsidRPr="003B40D8">
          <w:rPr>
            <w:rFonts w:cs="Arial"/>
            <w:sz w:val="20"/>
            <w:szCs w:val="20"/>
            <w:lang w:eastAsia="de-DE"/>
          </w:rPr>
          <w:t>§ 307 Abs. 1, Abs. 2 Nr. 1 BGB</w:t>
        </w:r>
      </w:hyperlink>
      <w:r w:rsidRPr="003B40D8">
        <w:rPr>
          <w:rFonts w:cs="Arial"/>
          <w:sz w:val="20"/>
          <w:szCs w:val="20"/>
          <w:lang w:eastAsia="de-DE"/>
        </w:rPr>
        <w:t xml:space="preserve"> unwirksam wegen einer entgegen den Geboten von Treu und Glauben erfolgenden unangemessenen Benachteiligung des Darlehensnehmers.</w:t>
      </w:r>
    </w:p>
    <w:p w:rsidR="003B40D8" w:rsidRDefault="003B40D8" w:rsidP="00B75A98">
      <w:pPr>
        <w:spacing w:after="0" w:line="240" w:lineRule="auto"/>
        <w:jc w:val="both"/>
        <w:rPr>
          <w:rFonts w:cs="Arial"/>
          <w:sz w:val="20"/>
          <w:szCs w:val="20"/>
          <w:lang w:eastAsia="de-DE"/>
        </w:rPr>
      </w:pPr>
      <w:r w:rsidRPr="003B40D8">
        <w:rPr>
          <w:rFonts w:cs="Arial"/>
          <w:sz w:val="20"/>
          <w:szCs w:val="20"/>
          <w:lang w:eastAsia="de-DE"/>
        </w:rPr>
        <w:t>2. Die Grundsätze aus der Rechtsprechung des Bundesgerichtshofs zur Unwirksamkeit der Vereinbarung von Bearbeitungsentgelten durch Allgemeine Geschäftsbedingungen sind auch auf Darlehensverträge im unternehmerischen Bereich übertragbar</w:t>
      </w:r>
    </w:p>
    <w:p w:rsidR="003B40D8" w:rsidRPr="003B40D8" w:rsidRDefault="003B40D8" w:rsidP="003B40D8">
      <w:pPr>
        <w:spacing w:after="0" w:line="240" w:lineRule="auto"/>
        <w:rPr>
          <w:rFonts w:cs="Arial"/>
          <w:sz w:val="20"/>
          <w:szCs w:val="20"/>
        </w:rPr>
      </w:pPr>
    </w:p>
    <w:p w:rsidR="00220EA1" w:rsidRDefault="00220EA1" w:rsidP="003B40D8">
      <w:pPr>
        <w:spacing w:after="0" w:line="240" w:lineRule="auto"/>
        <w:jc w:val="center"/>
        <w:rPr>
          <w:rFonts w:cs="Arial"/>
          <w:b/>
          <w:bCs/>
          <w:sz w:val="20"/>
          <w:szCs w:val="20"/>
          <w:lang w:eastAsia="de-DE"/>
        </w:rPr>
      </w:pPr>
    </w:p>
    <w:p w:rsidR="003B40D8" w:rsidRDefault="003B40D8" w:rsidP="003B40D8">
      <w:pPr>
        <w:spacing w:after="0" w:line="240" w:lineRule="auto"/>
        <w:jc w:val="center"/>
        <w:rPr>
          <w:rFonts w:cs="Arial"/>
          <w:b/>
          <w:bCs/>
          <w:sz w:val="20"/>
          <w:szCs w:val="20"/>
          <w:lang w:eastAsia="de-DE"/>
        </w:rPr>
      </w:pPr>
      <w:r>
        <w:rPr>
          <w:rFonts w:cs="Arial"/>
          <w:b/>
          <w:bCs/>
          <w:sz w:val="20"/>
          <w:szCs w:val="20"/>
          <w:lang w:eastAsia="de-DE"/>
        </w:rPr>
        <w:t>III.</w:t>
      </w:r>
    </w:p>
    <w:p w:rsidR="003B40D8" w:rsidRDefault="00150388" w:rsidP="003B40D8">
      <w:pPr>
        <w:spacing w:after="0" w:line="240" w:lineRule="auto"/>
        <w:jc w:val="center"/>
        <w:rPr>
          <w:rFonts w:cs="Arial"/>
          <w:b/>
          <w:bCs/>
          <w:sz w:val="20"/>
          <w:szCs w:val="20"/>
          <w:lang w:eastAsia="de-DE"/>
        </w:rPr>
      </w:pPr>
      <w:r>
        <w:rPr>
          <w:rFonts w:cs="Arial"/>
          <w:b/>
          <w:bCs/>
          <w:sz w:val="20"/>
          <w:szCs w:val="20"/>
          <w:lang w:eastAsia="de-DE"/>
        </w:rPr>
        <w:t>Bearbeitungsgebühr im Kreditraumenvertrag</w:t>
      </w:r>
    </w:p>
    <w:p w:rsidR="003B40D8" w:rsidRDefault="003B40D8" w:rsidP="003B40D8">
      <w:pPr>
        <w:spacing w:after="0" w:line="240" w:lineRule="auto"/>
        <w:jc w:val="center"/>
        <w:rPr>
          <w:rFonts w:cs="Arial"/>
          <w:sz w:val="20"/>
          <w:szCs w:val="20"/>
          <w:lang w:eastAsia="de-DE"/>
        </w:rPr>
      </w:pPr>
      <w:r w:rsidRPr="003B40D8">
        <w:rPr>
          <w:rFonts w:cs="Arial"/>
          <w:sz w:val="20"/>
          <w:szCs w:val="20"/>
          <w:lang w:eastAsia="de-DE"/>
        </w:rPr>
        <w:t>KG Be</w:t>
      </w:r>
      <w:r>
        <w:rPr>
          <w:rFonts w:cs="Arial"/>
          <w:sz w:val="20"/>
          <w:szCs w:val="20"/>
          <w:lang w:eastAsia="de-DE"/>
        </w:rPr>
        <w:t>rlin, Urteil vom 06. April 2017, Az.</w:t>
      </w:r>
      <w:r w:rsidRPr="003B40D8">
        <w:rPr>
          <w:rFonts w:cs="Arial"/>
          <w:sz w:val="20"/>
          <w:szCs w:val="20"/>
          <w:lang w:eastAsia="de-DE"/>
        </w:rPr>
        <w:t xml:space="preserve"> 8 U 114/16</w:t>
      </w:r>
    </w:p>
    <w:p w:rsidR="003B40D8" w:rsidRDefault="003B40D8" w:rsidP="003B40D8">
      <w:pPr>
        <w:spacing w:after="0" w:line="240" w:lineRule="auto"/>
        <w:jc w:val="center"/>
        <w:rPr>
          <w:rFonts w:cs="Arial"/>
          <w:sz w:val="20"/>
          <w:szCs w:val="20"/>
          <w:lang w:eastAsia="de-DE"/>
        </w:rPr>
      </w:pPr>
    </w:p>
    <w:p w:rsidR="003B40D8" w:rsidRPr="003B40D8" w:rsidRDefault="003B40D8" w:rsidP="003B40D8">
      <w:pPr>
        <w:spacing w:after="0" w:line="240" w:lineRule="auto"/>
        <w:rPr>
          <w:rFonts w:cs="Arial"/>
          <w:sz w:val="20"/>
          <w:szCs w:val="20"/>
          <w:lang w:eastAsia="de-DE"/>
        </w:rPr>
      </w:pPr>
      <w:r w:rsidRPr="003B40D8">
        <w:rPr>
          <w:rFonts w:cs="Arial"/>
          <w:sz w:val="20"/>
          <w:szCs w:val="20"/>
          <w:lang w:eastAsia="de-DE"/>
        </w:rPr>
        <w:t xml:space="preserve">Die Vereinbarung einer Bearbeitungsgebühr durch allgemeine Geschäftsbedingung in einem Kreditrahmenvertrag zur Bauträgerfinanzierung verstößt nicht gegen </w:t>
      </w:r>
      <w:hyperlink r:id="rId10" w:anchor="focuspoint" w:history="1">
        <w:r w:rsidRPr="003B40D8">
          <w:rPr>
            <w:rFonts w:cs="Arial"/>
            <w:sz w:val="20"/>
            <w:szCs w:val="20"/>
            <w:lang w:eastAsia="de-DE"/>
          </w:rPr>
          <w:t>§ 307 Abs. 1 Satz 1 BGB</w:t>
        </w:r>
      </w:hyperlink>
      <w:r w:rsidRPr="003B40D8">
        <w:rPr>
          <w:rFonts w:cs="Arial"/>
          <w:sz w:val="20"/>
          <w:szCs w:val="20"/>
          <w:lang w:eastAsia="de-DE"/>
        </w:rPr>
        <w:t>.</w:t>
      </w:r>
    </w:p>
    <w:p w:rsidR="003B40D8" w:rsidRPr="003B40D8" w:rsidRDefault="003B40D8">
      <w:pPr>
        <w:rPr>
          <w:rFonts w:cs="Arial"/>
          <w:sz w:val="20"/>
          <w:szCs w:val="20"/>
        </w:rPr>
      </w:pPr>
    </w:p>
    <w:p w:rsidR="00220EA1" w:rsidRPr="003B40D8" w:rsidRDefault="003B40D8" w:rsidP="003B40D8">
      <w:pPr>
        <w:spacing w:after="0" w:line="240" w:lineRule="auto"/>
        <w:jc w:val="center"/>
        <w:rPr>
          <w:rFonts w:cs="Arial"/>
          <w:b/>
          <w:sz w:val="20"/>
          <w:szCs w:val="20"/>
        </w:rPr>
      </w:pPr>
      <w:r w:rsidRPr="003B40D8">
        <w:rPr>
          <w:rFonts w:cs="Arial"/>
          <w:b/>
          <w:sz w:val="20"/>
          <w:szCs w:val="20"/>
        </w:rPr>
        <w:t>IV.</w:t>
      </w:r>
    </w:p>
    <w:p w:rsidR="003B40D8" w:rsidRPr="003B40D8" w:rsidRDefault="003B40D8" w:rsidP="003B40D8">
      <w:pPr>
        <w:spacing w:after="0" w:line="240" w:lineRule="auto"/>
        <w:jc w:val="center"/>
        <w:rPr>
          <w:rFonts w:cs="Arial"/>
          <w:b/>
          <w:sz w:val="20"/>
          <w:szCs w:val="20"/>
          <w:lang w:eastAsia="de-DE"/>
        </w:rPr>
      </w:pPr>
      <w:r w:rsidRPr="003B40D8">
        <w:rPr>
          <w:rFonts w:cs="Arial"/>
          <w:b/>
          <w:sz w:val="20"/>
          <w:szCs w:val="20"/>
          <w:lang w:eastAsia="de-DE"/>
        </w:rPr>
        <w:t>Bearbeitungsentgelte in gewerblichen Darlehensverträgen: Zumutbarkeit einer Rückforderungsklage erst ab dem Jahr 2011; Allgemeine Geschäftsbedingungen</w:t>
      </w:r>
    </w:p>
    <w:p w:rsidR="003B40D8" w:rsidRPr="003B40D8" w:rsidRDefault="003B40D8" w:rsidP="003B40D8">
      <w:pPr>
        <w:spacing w:after="0" w:line="240" w:lineRule="auto"/>
        <w:jc w:val="center"/>
        <w:rPr>
          <w:rFonts w:cs="Arial"/>
          <w:sz w:val="20"/>
          <w:szCs w:val="20"/>
        </w:rPr>
      </w:pPr>
      <w:r w:rsidRPr="003B40D8">
        <w:rPr>
          <w:rFonts w:cs="Arial"/>
          <w:sz w:val="20"/>
          <w:szCs w:val="20"/>
          <w:lang w:eastAsia="de-DE"/>
        </w:rPr>
        <w:t>OLG Nürnberg, Urteil vom 04. April 2017</w:t>
      </w:r>
      <w:r>
        <w:rPr>
          <w:rFonts w:cs="Arial"/>
          <w:sz w:val="20"/>
          <w:szCs w:val="20"/>
          <w:lang w:eastAsia="de-DE"/>
        </w:rPr>
        <w:t>, Az.</w:t>
      </w:r>
      <w:r w:rsidRPr="003B40D8">
        <w:rPr>
          <w:rFonts w:cs="Arial"/>
          <w:sz w:val="20"/>
          <w:szCs w:val="20"/>
          <w:lang w:eastAsia="de-DE"/>
        </w:rPr>
        <w:t xml:space="preserve"> 14 U 612/15</w:t>
      </w:r>
    </w:p>
    <w:p w:rsidR="00220EA1" w:rsidRDefault="00220EA1" w:rsidP="003B40D8">
      <w:pPr>
        <w:spacing w:after="0" w:line="240" w:lineRule="auto"/>
        <w:jc w:val="both"/>
        <w:rPr>
          <w:rFonts w:cs="Arial"/>
          <w:sz w:val="20"/>
          <w:szCs w:val="20"/>
        </w:rPr>
      </w:pPr>
    </w:p>
    <w:p w:rsidR="003B40D8" w:rsidRPr="003B40D8" w:rsidRDefault="003B40D8" w:rsidP="0058157C">
      <w:pPr>
        <w:spacing w:after="0" w:line="240" w:lineRule="auto"/>
        <w:jc w:val="both"/>
        <w:rPr>
          <w:rFonts w:cs="Arial"/>
          <w:sz w:val="20"/>
          <w:szCs w:val="20"/>
          <w:lang w:eastAsia="de-DE"/>
        </w:rPr>
      </w:pPr>
      <w:r w:rsidRPr="003B40D8">
        <w:rPr>
          <w:rFonts w:cs="Arial"/>
          <w:sz w:val="20"/>
          <w:szCs w:val="20"/>
          <w:lang w:eastAsia="de-DE"/>
        </w:rPr>
        <w:t xml:space="preserve">1. Wie Verbrauchern (vergleiche </w:t>
      </w:r>
      <w:hyperlink r:id="rId11" w:anchor="focuspoint" w:history="1">
        <w:r w:rsidRPr="003B40D8">
          <w:rPr>
            <w:rFonts w:cs="Arial"/>
            <w:sz w:val="20"/>
            <w:szCs w:val="20"/>
            <w:lang w:eastAsia="de-DE"/>
          </w:rPr>
          <w:t>BGH, Urteile vom 28. Oktober 2014, XI ZR 348/13</w:t>
        </w:r>
      </w:hyperlink>
      <w:r w:rsidRPr="003B40D8">
        <w:rPr>
          <w:rFonts w:cs="Arial"/>
          <w:sz w:val="20"/>
          <w:szCs w:val="20"/>
          <w:lang w:eastAsia="de-DE"/>
        </w:rPr>
        <w:t xml:space="preserve">, juris </w:t>
      </w:r>
      <w:hyperlink r:id="rId12" w:anchor="rd_44" w:history="1">
        <w:r w:rsidRPr="003B40D8">
          <w:rPr>
            <w:rFonts w:cs="Arial"/>
            <w:sz w:val="20"/>
            <w:szCs w:val="20"/>
            <w:lang w:eastAsia="de-DE"/>
          </w:rPr>
          <w:t>Rn. 44</w:t>
        </w:r>
      </w:hyperlink>
      <w:r w:rsidRPr="003B40D8">
        <w:rPr>
          <w:rFonts w:cs="Arial"/>
          <w:sz w:val="20"/>
          <w:szCs w:val="20"/>
          <w:lang w:eastAsia="de-DE"/>
        </w:rPr>
        <w:t xml:space="preserve"> ff. und </w:t>
      </w:r>
      <w:hyperlink r:id="rId13" w:history="1">
        <w:r w:rsidRPr="003B40D8">
          <w:rPr>
            <w:rFonts w:cs="Arial"/>
            <w:sz w:val="20"/>
            <w:szCs w:val="20"/>
            <w:lang w:eastAsia="de-DE"/>
          </w:rPr>
          <w:t>XI ZR 17/14</w:t>
        </w:r>
      </w:hyperlink>
      <w:r w:rsidRPr="003B40D8">
        <w:rPr>
          <w:rFonts w:cs="Arial"/>
          <w:sz w:val="20"/>
          <w:szCs w:val="20"/>
          <w:lang w:eastAsia="de-DE"/>
        </w:rPr>
        <w:t xml:space="preserve">, juris </w:t>
      </w:r>
      <w:hyperlink r:id="rId14" w:history="1">
        <w:r w:rsidRPr="003B40D8">
          <w:rPr>
            <w:rFonts w:cs="Arial"/>
            <w:sz w:val="20"/>
            <w:szCs w:val="20"/>
            <w:lang w:eastAsia="de-DE"/>
          </w:rPr>
          <w:t>Rn. 42</w:t>
        </w:r>
      </w:hyperlink>
      <w:r w:rsidRPr="003B40D8">
        <w:rPr>
          <w:rFonts w:cs="Arial"/>
          <w:sz w:val="20"/>
          <w:szCs w:val="20"/>
          <w:lang w:eastAsia="de-DE"/>
        </w:rPr>
        <w:t xml:space="preserve"> ff.) ist es auch gewerblichen Darlehensnehmern erst ab dem Jahr 2011 zumutbar gewesen, eine Rückforderungsklage wegen zu Unrecht geforderter Bearbeitungsentgelte zu erheben.</w:t>
      </w:r>
      <w:bookmarkStart w:id="7" w:name="_retrdlink_40"/>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"https://www.juris.de/jportal/portal/t/clf/page/jurisw.psml?pid=Dokumentanzeige&amp;showdoccase=1&amp;js_peid=Trefferliste&amp;documentnumber=21&amp;numberofresults=463&amp;fromdoctodoc=yes&amp;doc.id=KORE400532017&amp;doc.part=L&amp;doc.price=0.0&amp;doc.hl=1" \l "rd_40"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(Rn.40)</w:t>
      </w:r>
      <w:r w:rsidRPr="003B40D8">
        <w:rPr>
          <w:rFonts w:cs="Arial"/>
          <w:sz w:val="20"/>
          <w:szCs w:val="20"/>
          <w:lang w:eastAsia="de-DE"/>
        </w:rPr>
        <w:fldChar w:fldCharType="end"/>
      </w:r>
      <w:bookmarkEnd w:id="7"/>
    </w:p>
    <w:p w:rsidR="003B40D8" w:rsidRPr="003B40D8" w:rsidRDefault="003B40D8" w:rsidP="0058157C">
      <w:pPr>
        <w:spacing w:after="0" w:line="240" w:lineRule="auto"/>
        <w:jc w:val="both"/>
        <w:rPr>
          <w:rFonts w:cs="Arial"/>
          <w:sz w:val="20"/>
          <w:szCs w:val="20"/>
          <w:lang w:eastAsia="de-DE"/>
        </w:rPr>
      </w:pPr>
      <w:r w:rsidRPr="003B40D8">
        <w:rPr>
          <w:rFonts w:cs="Arial"/>
          <w:sz w:val="20"/>
          <w:szCs w:val="20"/>
          <w:lang w:eastAsia="de-DE"/>
        </w:rPr>
        <w:t xml:space="preserve">2. Verlangt eine Bank ein Bearbeitungsentgelt, das sie nach bestimmten Vorgaben errechnet, stellen die von ihr formulierten Vertragsklauseln auch dann Allgemeine Geschäftsbedingungen dar, wenn </w:t>
      </w:r>
      <w:r w:rsidRPr="003B40D8">
        <w:rPr>
          <w:rFonts w:cs="Arial"/>
          <w:sz w:val="20"/>
          <w:szCs w:val="20"/>
          <w:lang w:eastAsia="de-DE"/>
        </w:rPr>
        <w:lastRenderedPageBreak/>
        <w:t>anstelle eines festen Prozentsatzes ein konkreter, sich in mehreren Verträgen nicht wiederholender Betrag in Euro genannt wird.</w:t>
      </w:r>
      <w:bookmarkStart w:id="8" w:name="_retrdlink_46"/>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"https://www.juris.de/jportal/portal/t/clf/page/jurisw.psml?pid=Dokumentanzeige&amp;showdoccase=1&amp;js_peid=Trefferliste&amp;documentnumber=21&amp;numberofresults=463&amp;fromdoctodoc=yes&amp;doc.id=KORE400532017&amp;doc.part=L&amp;doc.price=0.0&amp;doc.hl=1" \l "rd_46"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(Rn.46)</w:t>
      </w:r>
      <w:r w:rsidRPr="003B40D8">
        <w:rPr>
          <w:rFonts w:cs="Arial"/>
          <w:sz w:val="20"/>
          <w:szCs w:val="20"/>
          <w:lang w:eastAsia="de-DE"/>
        </w:rPr>
        <w:fldChar w:fldCharType="end"/>
      </w:r>
      <w:bookmarkEnd w:id="8"/>
    </w:p>
    <w:p w:rsidR="003B40D8" w:rsidRPr="003B40D8" w:rsidRDefault="003B40D8" w:rsidP="0058157C">
      <w:pPr>
        <w:spacing w:after="0" w:line="240" w:lineRule="auto"/>
        <w:jc w:val="both"/>
        <w:rPr>
          <w:rFonts w:cs="Arial"/>
          <w:sz w:val="20"/>
          <w:szCs w:val="20"/>
          <w:lang w:eastAsia="de-DE"/>
        </w:rPr>
      </w:pPr>
      <w:r w:rsidRPr="003B40D8">
        <w:rPr>
          <w:rFonts w:cs="Arial"/>
          <w:sz w:val="20"/>
          <w:szCs w:val="20"/>
          <w:lang w:eastAsia="de-DE"/>
        </w:rPr>
        <w:t xml:space="preserve">3. Auch Bearbeitungsentgelte in Darlehensverträgen, die der Finanzierung des Bauträgergeschäfts dienen, stellen kontrollfähige Preisnebenabreden dar. Bei der Bearbeitung, Verwaltung und Begleitung eines Bauträgerkredits handelt die Bank im eigenen Interesse oder in Erfüllung eigener gesetzlicher bzw. nebenvertraglicher Pflichten (Abgrenzung zu </w:t>
      </w:r>
      <w:hyperlink r:id="rId15" w:anchor="focuspoint" w:history="1">
        <w:r w:rsidRPr="003B40D8">
          <w:rPr>
            <w:rFonts w:cs="Arial"/>
            <w:sz w:val="20"/>
            <w:szCs w:val="20"/>
            <w:lang w:eastAsia="de-DE"/>
          </w:rPr>
          <w:t>OLG Köln, Urteil vom 13. Juli 2016, 13 U 140/15</w:t>
        </w:r>
      </w:hyperlink>
      <w:r w:rsidRPr="003B40D8">
        <w:rPr>
          <w:rFonts w:cs="Arial"/>
          <w:sz w:val="20"/>
          <w:szCs w:val="20"/>
          <w:lang w:eastAsia="de-DE"/>
        </w:rPr>
        <w:t xml:space="preserve">, juris </w:t>
      </w:r>
      <w:hyperlink r:id="rId16" w:anchor="rd_17" w:history="1">
        <w:r w:rsidRPr="003B40D8">
          <w:rPr>
            <w:rFonts w:cs="Arial"/>
            <w:sz w:val="20"/>
            <w:szCs w:val="20"/>
            <w:lang w:eastAsia="de-DE"/>
          </w:rPr>
          <w:t>Rn. 17</w:t>
        </w:r>
      </w:hyperlink>
      <w:r w:rsidRPr="003B40D8">
        <w:rPr>
          <w:rFonts w:cs="Arial"/>
          <w:sz w:val="20"/>
          <w:szCs w:val="20"/>
          <w:lang w:eastAsia="de-DE"/>
        </w:rPr>
        <w:t xml:space="preserve"> ff.).</w:t>
      </w:r>
      <w:bookmarkStart w:id="9" w:name="_retrdlink_55"/>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"https://www.juris.de/jportal/portal/t/clf/page/jurisw.psml?pid=Dokumentanzeige&amp;showdoccase=1&amp;js_peid=Trefferliste&amp;documentnumber=21&amp;numberofresults=463&amp;fromdoctodoc=yes&amp;doc.id=KORE400532017&amp;doc.part=L&amp;doc.price=0.0&amp;doc.hl=1" \l "rd_55"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(Rn.55)</w:t>
      </w:r>
      <w:r w:rsidRPr="003B40D8">
        <w:rPr>
          <w:rFonts w:cs="Arial"/>
          <w:sz w:val="20"/>
          <w:szCs w:val="20"/>
          <w:lang w:eastAsia="de-DE"/>
        </w:rPr>
        <w:fldChar w:fldCharType="end"/>
      </w:r>
      <w:bookmarkEnd w:id="9"/>
    </w:p>
    <w:p w:rsidR="003B40D8" w:rsidRPr="003B40D8" w:rsidRDefault="003B40D8" w:rsidP="0058157C">
      <w:pPr>
        <w:spacing w:after="0" w:line="240" w:lineRule="auto"/>
        <w:jc w:val="both"/>
        <w:rPr>
          <w:rFonts w:cs="Arial"/>
          <w:sz w:val="20"/>
          <w:szCs w:val="20"/>
          <w:lang w:eastAsia="de-DE"/>
        </w:rPr>
      </w:pPr>
      <w:r w:rsidRPr="003B40D8">
        <w:rPr>
          <w:rFonts w:cs="Arial"/>
          <w:sz w:val="20"/>
          <w:szCs w:val="20"/>
          <w:lang w:eastAsia="de-DE"/>
        </w:rPr>
        <w:t xml:space="preserve">4. Mit der Erklärung ihrer Bereitschaft, das Bearbeitungsentgelt nur bei gleichzeitiger Erhöhung des Vertragszinses zu reduzieren, stellt eine Bank das Bearbeitungsentgelt nicht in seinem Kerngehalt zur Disposition. Sie kann sich deshalb nicht auf ein Aushandeln der Vertragsbedingungen im Sinne des </w:t>
      </w:r>
      <w:hyperlink r:id="rId17" w:anchor="focuspoint" w:history="1">
        <w:r w:rsidRPr="003B40D8">
          <w:rPr>
            <w:rFonts w:cs="Arial"/>
            <w:sz w:val="20"/>
            <w:szCs w:val="20"/>
            <w:lang w:eastAsia="de-DE"/>
          </w:rPr>
          <w:t>§ 305 Abs. 1 Satz 3 BGB</w:t>
        </w:r>
      </w:hyperlink>
      <w:r w:rsidRPr="003B40D8">
        <w:rPr>
          <w:rFonts w:cs="Arial"/>
          <w:sz w:val="20"/>
          <w:szCs w:val="20"/>
          <w:lang w:eastAsia="de-DE"/>
        </w:rPr>
        <w:t xml:space="preserve"> berufen.</w:t>
      </w:r>
      <w:bookmarkStart w:id="10" w:name="_retrdlink_58"/>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"https://www.juris.de/jportal/portal/t/clf/page/jurisw.psml?pid=Dokumentanzeige&amp;showdoccase=1&amp;js_peid=Trefferliste&amp;documentnumber=21&amp;numberofresults=463&amp;fromdoctodoc=yes&amp;doc.id=KORE400532017&amp;doc.part=L&amp;doc.price=0.0&amp;doc.hl=1" \l "rd_58"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(Rn.58)</w:t>
      </w:r>
      <w:r w:rsidRPr="003B40D8">
        <w:rPr>
          <w:rFonts w:cs="Arial"/>
          <w:sz w:val="20"/>
          <w:szCs w:val="20"/>
          <w:lang w:eastAsia="de-DE"/>
        </w:rPr>
        <w:fldChar w:fldCharType="end"/>
      </w:r>
      <w:bookmarkEnd w:id="10"/>
    </w:p>
    <w:p w:rsidR="003B40D8" w:rsidRPr="003B40D8" w:rsidRDefault="003B40D8" w:rsidP="0058157C">
      <w:pPr>
        <w:spacing w:after="0" w:line="240" w:lineRule="auto"/>
        <w:jc w:val="both"/>
        <w:rPr>
          <w:rFonts w:cs="Arial"/>
          <w:sz w:val="20"/>
          <w:szCs w:val="20"/>
          <w:lang w:eastAsia="de-DE"/>
        </w:rPr>
      </w:pPr>
      <w:r w:rsidRPr="003B40D8">
        <w:rPr>
          <w:rFonts w:cs="Arial"/>
          <w:sz w:val="20"/>
          <w:szCs w:val="20"/>
          <w:lang w:eastAsia="de-DE"/>
        </w:rPr>
        <w:t>5. Die vom Bundesgerichtshof zur Unwirksamkeit von Formularklauseln über die Erhebung von Bearbeitungsgebühren in Privatkreditverträgen entwickelte Rechtsprechung (</w:t>
      </w:r>
      <w:hyperlink r:id="rId18" w:anchor="focuspoint" w:history="1">
        <w:r w:rsidRPr="003B40D8">
          <w:rPr>
            <w:rFonts w:cs="Arial"/>
            <w:sz w:val="20"/>
            <w:szCs w:val="20"/>
            <w:lang w:eastAsia="de-DE"/>
          </w:rPr>
          <w:t>BGH, Urteile vom 13. Mai 2014, XI ZR 405/12</w:t>
        </w:r>
      </w:hyperlink>
      <w:r w:rsidRPr="003B40D8">
        <w:rPr>
          <w:rFonts w:cs="Arial"/>
          <w:sz w:val="20"/>
          <w:szCs w:val="20"/>
          <w:lang w:eastAsia="de-DE"/>
        </w:rPr>
        <w:t xml:space="preserve">, juris </w:t>
      </w:r>
      <w:hyperlink r:id="rId19" w:anchor="rd_17" w:history="1">
        <w:r w:rsidRPr="003B40D8">
          <w:rPr>
            <w:rFonts w:cs="Arial"/>
            <w:sz w:val="20"/>
            <w:szCs w:val="20"/>
            <w:lang w:eastAsia="de-DE"/>
          </w:rPr>
          <w:t>Rn. 17</w:t>
        </w:r>
      </w:hyperlink>
      <w:r w:rsidRPr="003B40D8">
        <w:rPr>
          <w:rFonts w:cs="Arial"/>
          <w:sz w:val="20"/>
          <w:szCs w:val="20"/>
          <w:lang w:eastAsia="de-DE"/>
        </w:rPr>
        <w:t xml:space="preserve"> ff. und </w:t>
      </w:r>
      <w:hyperlink r:id="rId20" w:anchor="focuspoint" w:history="1">
        <w:r w:rsidRPr="003B40D8">
          <w:rPr>
            <w:rFonts w:cs="Arial"/>
            <w:sz w:val="20"/>
            <w:szCs w:val="20"/>
            <w:lang w:eastAsia="de-DE"/>
          </w:rPr>
          <w:t>XI ZR 170/13</w:t>
        </w:r>
      </w:hyperlink>
      <w:r w:rsidRPr="003B40D8">
        <w:rPr>
          <w:rFonts w:cs="Arial"/>
          <w:sz w:val="20"/>
          <w:szCs w:val="20"/>
          <w:lang w:eastAsia="de-DE"/>
        </w:rPr>
        <w:t xml:space="preserve">, juris </w:t>
      </w:r>
      <w:hyperlink r:id="rId21" w:anchor="rd_26" w:history="1">
        <w:r w:rsidRPr="003B40D8">
          <w:rPr>
            <w:rFonts w:cs="Arial"/>
            <w:sz w:val="20"/>
            <w:szCs w:val="20"/>
            <w:lang w:eastAsia="de-DE"/>
          </w:rPr>
          <w:t>Rn. 26</w:t>
        </w:r>
      </w:hyperlink>
      <w:r w:rsidRPr="003B40D8">
        <w:rPr>
          <w:rFonts w:cs="Arial"/>
          <w:sz w:val="20"/>
          <w:szCs w:val="20"/>
          <w:lang w:eastAsia="de-DE"/>
        </w:rPr>
        <w:t xml:space="preserve"> ff.) kann zwar regelmäßig auch auf gewerbliche Kreditverträge, nicht aber auf typische Bauträgerfinanzierungen übertragen werden, bei denen der Bank die Möglichkeit, ihren mit der Darlehensgewährung verbundenen Bearbeitungsaufwand während der Vertragslaufzeit durch eine entsprechende Kalkulation des Zinses innerhalb der Grenzen des </w:t>
      </w:r>
      <w:hyperlink r:id="rId22" w:anchor="focuspoint" w:history="1">
        <w:r w:rsidRPr="003B40D8">
          <w:rPr>
            <w:rFonts w:cs="Arial"/>
            <w:sz w:val="20"/>
            <w:szCs w:val="20"/>
            <w:lang w:eastAsia="de-DE"/>
          </w:rPr>
          <w:t>§ 138 BGB</w:t>
        </w:r>
      </w:hyperlink>
      <w:r w:rsidRPr="003B40D8">
        <w:rPr>
          <w:rFonts w:cs="Arial"/>
          <w:sz w:val="20"/>
          <w:szCs w:val="20"/>
          <w:lang w:eastAsia="de-DE"/>
        </w:rPr>
        <w:t xml:space="preserve"> zu decken, nicht zur Verfügung steht.</w:t>
      </w:r>
      <w:bookmarkStart w:id="11" w:name="_retrdlink_66"/>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"https://www.juris.de/jportal/portal/t/clf/page/jurisw.psml?pid=Dokumentanzeige&amp;showdoccase=1&amp;js_peid=Trefferliste&amp;documentnumber=21&amp;numberofresults=463&amp;fromdoctodoc=yes&amp;doc.id=KORE400532017&amp;doc.part=L&amp;doc.price=0.0&amp;doc.hl=1" \l "rd_66"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(Rn.66)</w:t>
      </w:r>
      <w:r w:rsidRPr="003B40D8">
        <w:rPr>
          <w:rFonts w:cs="Arial"/>
          <w:sz w:val="20"/>
          <w:szCs w:val="20"/>
          <w:lang w:eastAsia="de-DE"/>
        </w:rPr>
        <w:fldChar w:fldCharType="end"/>
      </w:r>
      <w:bookmarkEnd w:id="11"/>
    </w:p>
    <w:p w:rsidR="003B40D8" w:rsidRPr="003B40D8" w:rsidRDefault="003B40D8">
      <w:pPr>
        <w:rPr>
          <w:rFonts w:cs="Arial"/>
          <w:sz w:val="20"/>
          <w:szCs w:val="20"/>
        </w:rPr>
      </w:pPr>
    </w:p>
    <w:p w:rsidR="00220EA1" w:rsidRPr="003E6E9A" w:rsidRDefault="003E6E9A" w:rsidP="003E6E9A">
      <w:pPr>
        <w:spacing w:after="0" w:line="240" w:lineRule="auto"/>
        <w:jc w:val="center"/>
        <w:rPr>
          <w:rFonts w:cs="Arial"/>
          <w:b/>
          <w:sz w:val="20"/>
          <w:szCs w:val="20"/>
          <w:lang w:eastAsia="de-DE"/>
        </w:rPr>
      </w:pPr>
      <w:r w:rsidRPr="003E6E9A">
        <w:rPr>
          <w:rFonts w:cs="Arial"/>
          <w:b/>
          <w:sz w:val="20"/>
          <w:szCs w:val="20"/>
          <w:lang w:eastAsia="de-DE"/>
        </w:rPr>
        <w:t>V.</w:t>
      </w:r>
    </w:p>
    <w:p w:rsidR="003E6E9A" w:rsidRPr="003E6E9A" w:rsidRDefault="003E6E9A" w:rsidP="003E6E9A">
      <w:pPr>
        <w:spacing w:after="0" w:line="240" w:lineRule="auto"/>
        <w:jc w:val="center"/>
        <w:rPr>
          <w:rFonts w:cs="Arial"/>
          <w:b/>
          <w:sz w:val="20"/>
          <w:szCs w:val="20"/>
          <w:lang w:eastAsia="de-DE"/>
        </w:rPr>
      </w:pPr>
      <w:r w:rsidRPr="003E6E9A">
        <w:rPr>
          <w:rFonts w:cs="Arial"/>
          <w:b/>
          <w:sz w:val="20"/>
          <w:szCs w:val="20"/>
          <w:lang w:eastAsia="de-DE"/>
        </w:rPr>
        <w:t>Bauvertrag: Wirksamkeit eines formularmäßig vereinbarten Sicherheitseinbehalts durch den Auftraggeber bei Ablösungsmöglichkeit erst nach Beseitigung festgestellter Mängel</w:t>
      </w:r>
    </w:p>
    <w:p w:rsidR="003E6E9A" w:rsidRPr="003B40D8" w:rsidRDefault="003E6E9A" w:rsidP="003E6E9A">
      <w:pPr>
        <w:spacing w:after="0" w:line="240" w:lineRule="auto"/>
        <w:jc w:val="center"/>
        <w:rPr>
          <w:rFonts w:cs="Arial"/>
          <w:sz w:val="20"/>
          <w:szCs w:val="20"/>
        </w:rPr>
      </w:pPr>
      <w:r w:rsidRPr="003B40D8">
        <w:rPr>
          <w:rFonts w:cs="Arial"/>
          <w:sz w:val="20"/>
          <w:szCs w:val="20"/>
          <w:lang w:eastAsia="de-DE"/>
        </w:rPr>
        <w:t>BGH, Urteil vom 30. März 2017</w:t>
      </w:r>
      <w:r>
        <w:rPr>
          <w:rFonts w:cs="Arial"/>
          <w:sz w:val="20"/>
          <w:szCs w:val="20"/>
          <w:lang w:eastAsia="de-DE"/>
        </w:rPr>
        <w:t>, Az.</w:t>
      </w:r>
      <w:r w:rsidRPr="003B40D8">
        <w:rPr>
          <w:rFonts w:cs="Arial"/>
          <w:sz w:val="20"/>
          <w:szCs w:val="20"/>
          <w:lang w:eastAsia="de-DE"/>
        </w:rPr>
        <w:t xml:space="preserve"> VII ZR 170/16</w:t>
      </w:r>
    </w:p>
    <w:p w:rsidR="003E6E9A" w:rsidRDefault="003E6E9A" w:rsidP="00B75A98">
      <w:pPr>
        <w:spacing w:after="0" w:line="240" w:lineRule="auto"/>
        <w:jc w:val="both"/>
        <w:rPr>
          <w:rFonts w:cs="Arial"/>
          <w:sz w:val="20"/>
          <w:szCs w:val="20"/>
          <w:lang w:eastAsia="de-DE"/>
        </w:rPr>
      </w:pPr>
    </w:p>
    <w:p w:rsidR="003E6E9A" w:rsidRPr="003B40D8" w:rsidRDefault="003E6E9A" w:rsidP="00B75A98">
      <w:pPr>
        <w:spacing w:after="0" w:line="240" w:lineRule="auto"/>
        <w:jc w:val="both"/>
        <w:rPr>
          <w:rFonts w:cs="Arial"/>
          <w:sz w:val="20"/>
          <w:szCs w:val="20"/>
          <w:lang w:eastAsia="de-DE"/>
        </w:rPr>
      </w:pPr>
      <w:r w:rsidRPr="003B40D8">
        <w:rPr>
          <w:rFonts w:cs="Arial"/>
          <w:sz w:val="20"/>
          <w:szCs w:val="20"/>
          <w:lang w:eastAsia="de-DE"/>
        </w:rPr>
        <w:t>Die Parteien vereinbaren - unabhängig von einer Ausführungsbürgschaft - den Einbehalt einer unverzinslichen Sicherheitsleistung durch den Auftraggeber in Höhe von 5 % der Brutto-Abrechnungssumme für die Sicherstellung der Gewährleistung einschließlich Schadensersatz und die Erstattung von Überzahlungen.</w:t>
      </w:r>
    </w:p>
    <w:p w:rsidR="003E6E9A" w:rsidRPr="003B40D8" w:rsidRDefault="003E6E9A" w:rsidP="00B75A98">
      <w:pPr>
        <w:spacing w:after="0" w:line="240" w:lineRule="auto"/>
        <w:jc w:val="both"/>
        <w:rPr>
          <w:rFonts w:cs="Arial"/>
          <w:sz w:val="20"/>
          <w:szCs w:val="20"/>
          <w:lang w:eastAsia="de-DE"/>
        </w:rPr>
      </w:pPr>
      <w:r w:rsidRPr="003B40D8">
        <w:rPr>
          <w:rFonts w:cs="Arial"/>
          <w:sz w:val="20"/>
          <w:szCs w:val="20"/>
          <w:lang w:eastAsia="de-DE"/>
        </w:rPr>
        <w:t>Der Auftragnehmer ist berechtigt, den Sicherheitseinbehalt gegen Vorlage einer unbefristeten, selbstschuldnerischen und unwiderruflichen Bürgschaft einer deutschen Großbank oder Versicherung abzulösen; frühestens jedoch nach vollständiger Beseitigung der im Abnahmeprotokoll festgestellten Mängel oder fehlender Leistungen.</w:t>
      </w:r>
    </w:p>
    <w:p w:rsidR="003E6E9A" w:rsidRPr="003B40D8" w:rsidRDefault="003E6E9A" w:rsidP="00B75A98">
      <w:pPr>
        <w:spacing w:after="0" w:line="240" w:lineRule="auto"/>
        <w:jc w:val="both"/>
        <w:rPr>
          <w:rFonts w:cs="Arial"/>
          <w:sz w:val="20"/>
          <w:szCs w:val="20"/>
          <w:lang w:eastAsia="de-DE"/>
        </w:rPr>
      </w:pPr>
      <w:r w:rsidRPr="003B40D8">
        <w:rPr>
          <w:rFonts w:cs="Arial"/>
          <w:sz w:val="20"/>
          <w:szCs w:val="20"/>
          <w:lang w:eastAsia="de-DE"/>
        </w:rPr>
        <w:t>Die von einem Auftraggeber in einem Bauvertrag gestellten Formularklauseln</w:t>
      </w:r>
      <w:r>
        <w:rPr>
          <w:rFonts w:cs="Arial"/>
          <w:sz w:val="20"/>
          <w:szCs w:val="20"/>
          <w:lang w:eastAsia="de-DE"/>
        </w:rPr>
        <w:t xml:space="preserve"> </w:t>
      </w:r>
      <w:r w:rsidRPr="003B40D8">
        <w:rPr>
          <w:rFonts w:cs="Arial"/>
          <w:sz w:val="20"/>
          <w:szCs w:val="20"/>
          <w:lang w:eastAsia="de-DE"/>
        </w:rPr>
        <w:t xml:space="preserve">sind bei der gebotenen Gesamtbeurteilung wegen unangemessener Benachteiligung des Auftragnehmers nach </w:t>
      </w:r>
      <w:hyperlink r:id="rId23" w:anchor="focuspoint" w:history="1">
        <w:r w:rsidRPr="003B40D8">
          <w:rPr>
            <w:rFonts w:cs="Arial"/>
            <w:sz w:val="20"/>
            <w:szCs w:val="20"/>
            <w:lang w:eastAsia="de-DE"/>
          </w:rPr>
          <w:t>§ 307 Abs. 1 Satz 1 BGB</w:t>
        </w:r>
      </w:hyperlink>
      <w:r w:rsidRPr="003B40D8">
        <w:rPr>
          <w:rFonts w:cs="Arial"/>
          <w:sz w:val="20"/>
          <w:szCs w:val="20"/>
          <w:lang w:eastAsia="de-DE"/>
        </w:rPr>
        <w:t xml:space="preserve"> unwirksam (Fortführung von </w:t>
      </w:r>
      <w:hyperlink r:id="rId24" w:anchor="focuspoint" w:history="1">
        <w:r w:rsidRPr="003B40D8">
          <w:rPr>
            <w:rFonts w:cs="Arial"/>
            <w:sz w:val="20"/>
            <w:szCs w:val="20"/>
            <w:lang w:eastAsia="de-DE"/>
          </w:rPr>
          <w:t>BGH, Urteil vom 13. November 2003, VII ZR 57/02</w:t>
        </w:r>
      </w:hyperlink>
      <w:r w:rsidRPr="003B40D8">
        <w:rPr>
          <w:rFonts w:cs="Arial"/>
          <w:sz w:val="20"/>
          <w:szCs w:val="20"/>
          <w:lang w:eastAsia="de-DE"/>
        </w:rPr>
        <w:t xml:space="preserve">, </w:t>
      </w:r>
      <w:hyperlink r:id="rId25" w:anchor="focuspoint" w:history="1">
        <w:r w:rsidRPr="003B40D8">
          <w:rPr>
            <w:rFonts w:cs="Arial"/>
            <w:sz w:val="20"/>
            <w:szCs w:val="20"/>
            <w:lang w:eastAsia="de-DE"/>
          </w:rPr>
          <w:t>BGHZ 157, 29</w:t>
        </w:r>
      </w:hyperlink>
      <w:r w:rsidRPr="003B40D8">
        <w:rPr>
          <w:rFonts w:cs="Arial"/>
          <w:sz w:val="20"/>
          <w:szCs w:val="20"/>
          <w:lang w:eastAsia="de-DE"/>
        </w:rPr>
        <w:t>).</w:t>
      </w:r>
      <w:bookmarkStart w:id="12" w:name="_retrdlink_16"/>
      <w:r w:rsidRPr="003B40D8">
        <w:rPr>
          <w:rFonts w:cs="Arial"/>
          <w:sz w:val="20"/>
          <w:szCs w:val="20"/>
          <w:lang w:eastAsia="de-DE"/>
        </w:rPr>
        <w:fldChar w:fldCharType="begin"/>
      </w:r>
      <w:r w:rsidRPr="003B40D8">
        <w:rPr>
          <w:rFonts w:cs="Arial"/>
          <w:sz w:val="20"/>
          <w:szCs w:val="20"/>
          <w:lang w:eastAsia="de-DE"/>
        </w:rPr>
        <w:instrText xml:space="preserve"> HYPERLINK "https://www.juris.de/jportal/portal/t/clj/page/jurisw.psml?pid=Dokumentanzeige&amp;showdoccase=1&amp;js_peid=Trefferliste&amp;documentnumber=24&amp;numberofresults=463&amp;fromdoctodoc=yes&amp;doc.id=KORE303062017&amp;doc.part=L&amp;doc.price=0.0&amp;doc.hl=1" \l "rd_16" \o "" </w:instrText>
      </w:r>
      <w:r w:rsidRPr="003B40D8">
        <w:rPr>
          <w:rFonts w:cs="Arial"/>
          <w:sz w:val="20"/>
          <w:szCs w:val="20"/>
          <w:lang w:eastAsia="de-DE"/>
        </w:rPr>
      </w:r>
      <w:r w:rsidRPr="003B40D8">
        <w:rPr>
          <w:rFonts w:cs="Arial"/>
          <w:sz w:val="20"/>
          <w:szCs w:val="20"/>
          <w:lang w:eastAsia="de-DE"/>
        </w:rPr>
        <w:fldChar w:fldCharType="separate"/>
      </w:r>
      <w:r w:rsidRPr="003B40D8">
        <w:rPr>
          <w:rFonts w:cs="Arial"/>
          <w:sz w:val="20"/>
          <w:szCs w:val="20"/>
          <w:lang w:eastAsia="de-DE"/>
        </w:rPr>
        <w:t>(Rn.16)</w:t>
      </w:r>
      <w:r w:rsidRPr="003B40D8">
        <w:rPr>
          <w:rFonts w:cs="Arial"/>
          <w:sz w:val="20"/>
          <w:szCs w:val="20"/>
          <w:lang w:eastAsia="de-DE"/>
        </w:rPr>
        <w:fldChar w:fldCharType="end"/>
      </w:r>
      <w:bookmarkEnd w:id="12"/>
    </w:p>
    <w:p w:rsidR="00220EA1" w:rsidRDefault="00220EA1" w:rsidP="00B75A98">
      <w:pPr>
        <w:spacing w:after="0" w:line="240" w:lineRule="auto"/>
        <w:jc w:val="both"/>
        <w:rPr>
          <w:rFonts w:cs="Arial"/>
          <w:sz w:val="20"/>
          <w:szCs w:val="20"/>
        </w:rPr>
      </w:pPr>
    </w:p>
    <w:p w:rsidR="003E6E9A" w:rsidRDefault="003E6E9A" w:rsidP="00B75A98">
      <w:pPr>
        <w:spacing w:after="0" w:line="240" w:lineRule="auto"/>
        <w:jc w:val="center"/>
        <w:rPr>
          <w:rFonts w:cs="Arial"/>
          <w:b/>
          <w:sz w:val="20"/>
          <w:szCs w:val="20"/>
        </w:rPr>
      </w:pPr>
      <w:r w:rsidRPr="003E6E9A">
        <w:rPr>
          <w:rFonts w:cs="Arial"/>
          <w:b/>
          <w:sz w:val="20"/>
          <w:szCs w:val="20"/>
        </w:rPr>
        <w:t>VI.</w:t>
      </w:r>
    </w:p>
    <w:p w:rsidR="00150388" w:rsidRPr="003E6E9A" w:rsidRDefault="00150388" w:rsidP="00B75A98">
      <w:pPr>
        <w:spacing w:after="0" w:line="240" w:lineRule="auto"/>
        <w:jc w:val="center"/>
        <w:rPr>
          <w:rFonts w:cs="Arial"/>
          <w:b/>
          <w:sz w:val="20"/>
          <w:szCs w:val="20"/>
        </w:rPr>
      </w:pPr>
      <w:r>
        <w:rPr>
          <w:rFonts w:cs="Arial"/>
          <w:b/>
          <w:sz w:val="20"/>
          <w:szCs w:val="20"/>
        </w:rPr>
        <w:t>Rechte und Pflichten des Architekten</w:t>
      </w:r>
    </w:p>
    <w:p w:rsidR="003E6E9A" w:rsidRDefault="003E6E9A" w:rsidP="003E6E9A">
      <w:pPr>
        <w:spacing w:after="0" w:line="240" w:lineRule="auto"/>
        <w:jc w:val="center"/>
        <w:rPr>
          <w:rFonts w:cs="Arial"/>
          <w:sz w:val="20"/>
          <w:szCs w:val="20"/>
          <w:lang w:eastAsia="de-DE"/>
        </w:rPr>
      </w:pPr>
      <w:r w:rsidRPr="003B40D8">
        <w:rPr>
          <w:rFonts w:cs="Arial"/>
          <w:sz w:val="20"/>
          <w:szCs w:val="20"/>
          <w:lang w:eastAsia="de-DE"/>
        </w:rPr>
        <w:t xml:space="preserve">OLG </w:t>
      </w:r>
      <w:r>
        <w:rPr>
          <w:rFonts w:cs="Arial"/>
          <w:sz w:val="20"/>
          <w:szCs w:val="20"/>
          <w:lang w:eastAsia="de-DE"/>
        </w:rPr>
        <w:t>Celle, Urteil vom 18. Mai 2017, Az.</w:t>
      </w:r>
      <w:r w:rsidRPr="003B40D8">
        <w:rPr>
          <w:rFonts w:cs="Arial"/>
          <w:sz w:val="20"/>
          <w:szCs w:val="20"/>
          <w:lang w:eastAsia="de-DE"/>
        </w:rPr>
        <w:t xml:space="preserve"> 7 U 168/16</w:t>
      </w:r>
    </w:p>
    <w:p w:rsidR="00150388" w:rsidRPr="003B40D8" w:rsidRDefault="00150388" w:rsidP="003E6E9A">
      <w:pPr>
        <w:spacing w:after="0" w:line="240" w:lineRule="auto"/>
        <w:jc w:val="center"/>
        <w:rPr>
          <w:rFonts w:cs="Arial"/>
          <w:sz w:val="20"/>
          <w:szCs w:val="20"/>
        </w:rPr>
      </w:pPr>
    </w:p>
    <w:p w:rsidR="003E6E9A" w:rsidRDefault="003E6E9A" w:rsidP="003E6E9A">
      <w:pPr>
        <w:spacing w:after="0" w:line="240" w:lineRule="auto"/>
        <w:jc w:val="both"/>
        <w:rPr>
          <w:rFonts w:cs="Arial"/>
          <w:sz w:val="20"/>
          <w:szCs w:val="20"/>
          <w:lang w:eastAsia="de-DE"/>
        </w:rPr>
      </w:pPr>
      <w:r w:rsidRPr="003B40D8">
        <w:rPr>
          <w:rFonts w:cs="Arial"/>
          <w:sz w:val="20"/>
          <w:szCs w:val="20"/>
          <w:lang w:eastAsia="de-DE"/>
        </w:rPr>
        <w:t>1. Der Architekt ist nicht bereits kraft seiner Bestellung uneingeschränkt bevollmächtigt, den Auftraggeber beim Abschluss von Verträgen zu vertreten oder rechtsgeschäftliche Erklärungen abzugeben, die dem Bauherrn erhebliche Verpflichtungen auferlegen.</w:t>
      </w:r>
    </w:p>
    <w:p w:rsidR="003E6E9A" w:rsidRDefault="003E6E9A" w:rsidP="003E6E9A">
      <w:pPr>
        <w:spacing w:after="0" w:line="240" w:lineRule="auto"/>
        <w:jc w:val="both"/>
        <w:rPr>
          <w:rFonts w:cs="Arial"/>
          <w:sz w:val="20"/>
          <w:szCs w:val="20"/>
          <w:lang w:eastAsia="de-DE"/>
        </w:rPr>
      </w:pPr>
      <w:r w:rsidRPr="003B40D8">
        <w:rPr>
          <w:rFonts w:cs="Arial"/>
          <w:sz w:val="20"/>
          <w:szCs w:val="20"/>
          <w:lang w:eastAsia="de-DE"/>
        </w:rPr>
        <w:t>2. Bei der Abgrenzung zwischen mehreren Schadensverursachern (hier: planender Architekt und bauausführendes Unternehmen) ist zu berücksichtigen, dass Planungsfehler grundsätzlich in den Verantwortungsbereich des planenden Architekten, Ausführungsfehler hingegen in den Verantwortungsbereich des bauausführenden Unternehmers fallen.</w:t>
      </w:r>
    </w:p>
    <w:p w:rsidR="003E6E9A" w:rsidRDefault="003E6E9A" w:rsidP="003E6E9A">
      <w:pPr>
        <w:spacing w:after="0" w:line="240" w:lineRule="auto"/>
        <w:jc w:val="both"/>
        <w:rPr>
          <w:rFonts w:cs="Arial"/>
          <w:sz w:val="20"/>
          <w:szCs w:val="20"/>
          <w:lang w:eastAsia="de-DE"/>
        </w:rPr>
      </w:pPr>
      <w:r w:rsidRPr="003B40D8">
        <w:rPr>
          <w:rFonts w:cs="Arial"/>
          <w:sz w:val="20"/>
          <w:szCs w:val="20"/>
          <w:lang w:eastAsia="de-DE"/>
        </w:rPr>
        <w:t>3. Die Überwachungspflicht des bauleitenden Architekten dient regelmäßig nicht dem Schutz des bauausführenden Unternehmens, sondern dem Schutz des Auftraggebers.</w:t>
      </w:r>
    </w:p>
    <w:p w:rsidR="003E6E9A" w:rsidRDefault="003E6E9A" w:rsidP="003E6E9A">
      <w:pPr>
        <w:spacing w:after="0" w:line="240" w:lineRule="auto"/>
        <w:jc w:val="both"/>
        <w:rPr>
          <w:rFonts w:cs="Arial"/>
          <w:sz w:val="20"/>
          <w:szCs w:val="20"/>
          <w:lang w:eastAsia="de-DE"/>
        </w:rPr>
      </w:pPr>
      <w:r w:rsidRPr="003B40D8">
        <w:rPr>
          <w:rFonts w:cs="Arial"/>
          <w:sz w:val="20"/>
          <w:szCs w:val="20"/>
          <w:lang w:eastAsia="de-DE"/>
        </w:rPr>
        <w:t>4. Der planende Architekt kann sich im Innenverhältnis gegenüber dem Bauherrn nicht zu seiner Entlastung darauf berufen, dass der Bauunternehmer die fehlerhaft geplante Bauleistung nicht fachgerecht ausgeführt hat.</w:t>
      </w:r>
    </w:p>
    <w:p w:rsidR="003E6E9A" w:rsidRPr="003B40D8" w:rsidRDefault="003E6E9A" w:rsidP="003E6E9A">
      <w:pPr>
        <w:spacing w:after="0" w:line="240" w:lineRule="auto"/>
        <w:jc w:val="both"/>
        <w:rPr>
          <w:rFonts w:cs="Arial"/>
          <w:sz w:val="20"/>
          <w:szCs w:val="20"/>
          <w:lang w:eastAsia="de-DE"/>
        </w:rPr>
      </w:pPr>
      <w:r w:rsidRPr="003B40D8">
        <w:rPr>
          <w:rFonts w:cs="Arial"/>
          <w:sz w:val="20"/>
          <w:szCs w:val="20"/>
          <w:lang w:eastAsia="de-DE"/>
        </w:rPr>
        <w:t xml:space="preserve">5. Der Bauherr muss sich den Planungsfehler seines Architekten im Verhältnis zum Auftraggeber gem. </w:t>
      </w:r>
      <w:hyperlink r:id="rId26" w:anchor="focuspoint" w:history="1">
        <w:r w:rsidRPr="003B40D8">
          <w:rPr>
            <w:rFonts w:cs="Arial"/>
            <w:sz w:val="20"/>
            <w:szCs w:val="20"/>
            <w:lang w:eastAsia="de-DE"/>
          </w:rPr>
          <w:t>§§ 254</w:t>
        </w:r>
      </w:hyperlink>
      <w:r w:rsidRPr="003B40D8">
        <w:rPr>
          <w:rFonts w:cs="Arial"/>
          <w:sz w:val="20"/>
          <w:szCs w:val="20"/>
          <w:lang w:eastAsia="de-DE"/>
        </w:rPr>
        <w:t xml:space="preserve">, </w:t>
      </w:r>
      <w:hyperlink r:id="rId27" w:anchor="focuspoint" w:history="1">
        <w:r w:rsidRPr="003B40D8">
          <w:rPr>
            <w:rFonts w:cs="Arial"/>
            <w:sz w:val="20"/>
            <w:szCs w:val="20"/>
            <w:lang w:eastAsia="de-DE"/>
          </w:rPr>
          <w:t>278 BGB</w:t>
        </w:r>
      </w:hyperlink>
      <w:r w:rsidRPr="003B40D8">
        <w:rPr>
          <w:rFonts w:cs="Arial"/>
          <w:sz w:val="20"/>
          <w:szCs w:val="20"/>
          <w:lang w:eastAsia="de-DE"/>
        </w:rPr>
        <w:t xml:space="preserve"> zurechnen lassen.</w:t>
      </w:r>
    </w:p>
    <w:p w:rsidR="00150388" w:rsidRDefault="00150388" w:rsidP="0058157C">
      <w:pPr>
        <w:spacing w:after="0" w:line="240" w:lineRule="auto"/>
        <w:rPr>
          <w:rFonts w:cs="Arial"/>
          <w:sz w:val="20"/>
          <w:szCs w:val="20"/>
        </w:rPr>
      </w:pPr>
      <w:r>
        <w:rPr>
          <w:rFonts w:cs="Arial"/>
          <w:sz w:val="20"/>
          <w:szCs w:val="20"/>
        </w:rPr>
        <w:br w:type="page"/>
      </w:r>
    </w:p>
    <w:p w:rsidR="00220EA1" w:rsidRPr="003B40D8" w:rsidRDefault="00220EA1" w:rsidP="0058157C">
      <w:pPr>
        <w:spacing w:after="0" w:line="240" w:lineRule="auto"/>
        <w:rPr>
          <w:rFonts w:cs="Arial"/>
          <w:sz w:val="20"/>
          <w:szCs w:val="20"/>
        </w:rPr>
      </w:pPr>
    </w:p>
    <w:p w:rsidR="00220EA1" w:rsidRDefault="003E6E9A" w:rsidP="00B75A98">
      <w:pPr>
        <w:spacing w:after="0" w:line="240" w:lineRule="auto"/>
        <w:jc w:val="center"/>
        <w:rPr>
          <w:rFonts w:cs="Arial"/>
          <w:b/>
          <w:sz w:val="20"/>
          <w:szCs w:val="20"/>
        </w:rPr>
      </w:pPr>
      <w:r w:rsidRPr="003E6E9A">
        <w:rPr>
          <w:rFonts w:cs="Arial"/>
          <w:b/>
          <w:sz w:val="20"/>
          <w:szCs w:val="20"/>
        </w:rPr>
        <w:t>VII.</w:t>
      </w:r>
    </w:p>
    <w:p w:rsidR="00150388" w:rsidRPr="00150388" w:rsidRDefault="00150388" w:rsidP="00B75A98">
      <w:pPr>
        <w:spacing w:after="0" w:line="240" w:lineRule="auto"/>
        <w:jc w:val="center"/>
        <w:rPr>
          <w:rFonts w:cs="Arial"/>
          <w:b/>
          <w:sz w:val="20"/>
          <w:szCs w:val="20"/>
        </w:rPr>
      </w:pPr>
      <w:r w:rsidRPr="00150388">
        <w:rPr>
          <w:rFonts w:cs="Arial"/>
          <w:b/>
          <w:sz w:val="20"/>
          <w:szCs w:val="20"/>
          <w:lang w:eastAsia="de-DE"/>
        </w:rPr>
        <w:t>Kündigung eines Internet-Forennutzungsvertrages</w:t>
      </w:r>
    </w:p>
    <w:p w:rsidR="003E6E9A" w:rsidRDefault="003E6E9A" w:rsidP="00B75A98">
      <w:pPr>
        <w:spacing w:after="0" w:line="240" w:lineRule="auto"/>
        <w:jc w:val="center"/>
        <w:rPr>
          <w:rFonts w:cs="Arial"/>
          <w:sz w:val="20"/>
          <w:szCs w:val="20"/>
        </w:rPr>
      </w:pPr>
      <w:r w:rsidRPr="003B40D8">
        <w:rPr>
          <w:rFonts w:cs="Arial"/>
          <w:sz w:val="20"/>
          <w:szCs w:val="20"/>
          <w:lang w:eastAsia="de-DE"/>
        </w:rPr>
        <w:t>AG Kerpen, Urteil vom 10. April 2017</w:t>
      </w:r>
      <w:r>
        <w:rPr>
          <w:rFonts w:cs="Arial"/>
          <w:sz w:val="20"/>
          <w:szCs w:val="20"/>
          <w:lang w:eastAsia="de-DE"/>
        </w:rPr>
        <w:t>, Az.</w:t>
      </w:r>
      <w:r w:rsidRPr="003B40D8">
        <w:rPr>
          <w:rFonts w:cs="Arial"/>
          <w:sz w:val="20"/>
          <w:szCs w:val="20"/>
          <w:lang w:eastAsia="de-DE"/>
        </w:rPr>
        <w:t xml:space="preserve"> 102 C 297/16</w:t>
      </w:r>
    </w:p>
    <w:p w:rsidR="00B75A98" w:rsidRDefault="00B75A98" w:rsidP="00B75A98">
      <w:pPr>
        <w:spacing w:after="0" w:line="240" w:lineRule="auto"/>
        <w:jc w:val="both"/>
        <w:rPr>
          <w:rFonts w:cs="Arial"/>
          <w:sz w:val="20"/>
          <w:szCs w:val="20"/>
          <w:lang w:eastAsia="de-DE"/>
        </w:rPr>
      </w:pPr>
    </w:p>
    <w:p w:rsidR="003E6E9A" w:rsidRPr="003B40D8" w:rsidRDefault="003E6E9A" w:rsidP="00B75A98">
      <w:pPr>
        <w:spacing w:after="0" w:line="240" w:lineRule="auto"/>
        <w:jc w:val="both"/>
        <w:rPr>
          <w:rFonts w:cs="Arial"/>
          <w:sz w:val="20"/>
          <w:szCs w:val="20"/>
          <w:lang w:eastAsia="de-DE"/>
        </w:rPr>
      </w:pPr>
      <w:r w:rsidRPr="003B40D8">
        <w:rPr>
          <w:rFonts w:cs="Arial"/>
          <w:sz w:val="20"/>
          <w:szCs w:val="20"/>
          <w:lang w:eastAsia="de-DE"/>
        </w:rPr>
        <w:t xml:space="preserve">Die Frist der ordentlichen Kündigung eines Internet-Forennutzungsvertrags beträgt in entsprechender Anwendung von </w:t>
      </w:r>
      <w:hyperlink r:id="rId28" w:anchor="focuspoint" w:history="1">
        <w:r w:rsidRPr="003B40D8">
          <w:rPr>
            <w:rFonts w:cs="Arial"/>
            <w:sz w:val="20"/>
            <w:szCs w:val="20"/>
            <w:lang w:eastAsia="de-DE"/>
          </w:rPr>
          <w:t>§ 624 S. 2 BGB</w:t>
        </w:r>
      </w:hyperlink>
      <w:r w:rsidRPr="003B40D8">
        <w:rPr>
          <w:rFonts w:cs="Arial"/>
          <w:sz w:val="20"/>
          <w:szCs w:val="20"/>
          <w:lang w:eastAsia="de-DE"/>
        </w:rPr>
        <w:t xml:space="preserve"> sechs Monate.</w:t>
      </w:r>
    </w:p>
    <w:p w:rsidR="00220EA1" w:rsidRDefault="00220EA1" w:rsidP="003E6E9A">
      <w:pPr>
        <w:spacing w:after="0" w:line="240" w:lineRule="auto"/>
        <w:rPr>
          <w:rFonts w:cs="Arial"/>
          <w:sz w:val="20"/>
          <w:szCs w:val="20"/>
        </w:rPr>
      </w:pPr>
    </w:p>
    <w:p w:rsidR="003E6E9A" w:rsidRDefault="003E6E9A" w:rsidP="003E6E9A">
      <w:pPr>
        <w:spacing w:after="0" w:line="240" w:lineRule="auto"/>
        <w:jc w:val="center"/>
        <w:rPr>
          <w:rFonts w:cs="Arial"/>
          <w:b/>
          <w:sz w:val="20"/>
          <w:szCs w:val="20"/>
        </w:rPr>
      </w:pPr>
      <w:r w:rsidRPr="003E6E9A">
        <w:rPr>
          <w:rFonts w:cs="Arial"/>
          <w:b/>
          <w:sz w:val="20"/>
          <w:szCs w:val="20"/>
        </w:rPr>
        <w:t>VIII.</w:t>
      </w:r>
    </w:p>
    <w:p w:rsidR="00150388" w:rsidRPr="00150388" w:rsidRDefault="00150388" w:rsidP="003E6E9A">
      <w:pPr>
        <w:spacing w:after="0" w:line="240" w:lineRule="auto"/>
        <w:jc w:val="center"/>
        <w:rPr>
          <w:rFonts w:cs="Arial"/>
          <w:b/>
          <w:sz w:val="20"/>
          <w:szCs w:val="20"/>
        </w:rPr>
      </w:pPr>
      <w:r w:rsidRPr="00150388">
        <w:rPr>
          <w:rFonts w:cs="Arial"/>
          <w:b/>
          <w:sz w:val="20"/>
          <w:szCs w:val="20"/>
        </w:rPr>
        <w:t xml:space="preserve">Haftung </w:t>
      </w:r>
      <w:r w:rsidRPr="00150388">
        <w:rPr>
          <w:rFonts w:cs="Arial"/>
          <w:b/>
          <w:sz w:val="20"/>
          <w:szCs w:val="20"/>
          <w:lang w:eastAsia="de-DE"/>
        </w:rPr>
        <w:t>SB-Portalwaschanlage-Betreibers</w:t>
      </w:r>
    </w:p>
    <w:p w:rsidR="003E6E9A" w:rsidRDefault="003E6E9A" w:rsidP="003E6E9A">
      <w:pPr>
        <w:spacing w:after="0" w:line="240" w:lineRule="auto"/>
        <w:jc w:val="center"/>
        <w:rPr>
          <w:rFonts w:cs="Arial"/>
          <w:sz w:val="20"/>
          <w:szCs w:val="20"/>
          <w:lang w:eastAsia="de-DE"/>
        </w:rPr>
      </w:pPr>
      <w:r w:rsidRPr="003B40D8">
        <w:rPr>
          <w:rFonts w:cs="Arial"/>
          <w:sz w:val="20"/>
          <w:szCs w:val="20"/>
          <w:lang w:eastAsia="de-DE"/>
        </w:rPr>
        <w:t>LG Nürnberg-Fürth, Urteil vom 18. Mai 2017</w:t>
      </w:r>
      <w:r w:rsidR="005610AB">
        <w:rPr>
          <w:rFonts w:cs="Arial"/>
          <w:sz w:val="20"/>
          <w:szCs w:val="20"/>
          <w:lang w:eastAsia="de-DE"/>
        </w:rPr>
        <w:t>, Az.</w:t>
      </w:r>
      <w:r w:rsidRPr="003B40D8">
        <w:rPr>
          <w:rFonts w:cs="Arial"/>
          <w:sz w:val="20"/>
          <w:szCs w:val="20"/>
          <w:lang w:eastAsia="de-DE"/>
        </w:rPr>
        <w:t xml:space="preserve"> 2 O 8988/16</w:t>
      </w:r>
    </w:p>
    <w:p w:rsidR="003E6E9A" w:rsidRPr="003B40D8" w:rsidRDefault="003E6E9A" w:rsidP="003E6E9A">
      <w:pPr>
        <w:spacing w:after="0" w:line="240" w:lineRule="auto"/>
        <w:jc w:val="center"/>
        <w:rPr>
          <w:rFonts w:cs="Arial"/>
          <w:sz w:val="20"/>
          <w:szCs w:val="20"/>
        </w:rPr>
      </w:pPr>
    </w:p>
    <w:p w:rsidR="003E6E9A" w:rsidRPr="003B40D8" w:rsidRDefault="003E6E9A" w:rsidP="003E6E9A">
      <w:pPr>
        <w:spacing w:after="0" w:line="240" w:lineRule="auto"/>
        <w:jc w:val="both"/>
        <w:rPr>
          <w:rFonts w:cs="Arial"/>
          <w:sz w:val="20"/>
          <w:szCs w:val="20"/>
          <w:lang w:eastAsia="de-DE"/>
        </w:rPr>
      </w:pPr>
      <w:r w:rsidRPr="003B40D8">
        <w:rPr>
          <w:rFonts w:cs="Arial"/>
          <w:sz w:val="20"/>
          <w:szCs w:val="20"/>
          <w:lang w:eastAsia="de-DE"/>
        </w:rPr>
        <w:t>1. Der Betreiber einer SB-Portalwaschanlage muss mit einem falschen Positionieren eines Fahrzeugs durch einen Benutzer rechnen und dem durch entsprechende Ausgestaltung des Anlagenbetriebes Rechnung tragen.</w:t>
      </w:r>
    </w:p>
    <w:p w:rsidR="003E6E9A" w:rsidRPr="003B40D8" w:rsidRDefault="003E6E9A" w:rsidP="003E6E9A">
      <w:pPr>
        <w:spacing w:after="0" w:line="240" w:lineRule="auto"/>
        <w:jc w:val="both"/>
        <w:rPr>
          <w:rFonts w:cs="Arial"/>
          <w:sz w:val="20"/>
          <w:szCs w:val="20"/>
          <w:lang w:eastAsia="de-DE"/>
        </w:rPr>
      </w:pPr>
      <w:r w:rsidRPr="003B40D8">
        <w:rPr>
          <w:rFonts w:cs="Arial"/>
          <w:sz w:val="20"/>
          <w:szCs w:val="20"/>
          <w:lang w:eastAsia="de-DE"/>
        </w:rPr>
        <w:t>2. Fehlt ein klarer Hinweis auf das Fehlen einer Kontrolleinrichtung für die richtige Querausrichtung des Fahrzeugs kann bei dessen Beschädigung durch Starten des Waschvorgangs den Betreiber eine Haftung - unter Berücksichtigung eines Mitverschuldens des Benutzers - von 1/3 treffen.</w:t>
      </w:r>
    </w:p>
    <w:p w:rsidR="00220EA1" w:rsidRDefault="00220EA1" w:rsidP="003E6E9A">
      <w:pPr>
        <w:spacing w:after="0" w:line="240" w:lineRule="auto"/>
        <w:rPr>
          <w:rFonts w:cs="Arial"/>
          <w:b/>
          <w:bCs/>
          <w:sz w:val="20"/>
          <w:szCs w:val="20"/>
          <w:lang w:eastAsia="de-DE"/>
        </w:rPr>
      </w:pPr>
    </w:p>
    <w:p w:rsidR="003E6E9A" w:rsidRDefault="003E6E9A" w:rsidP="003E6E9A">
      <w:pPr>
        <w:spacing w:after="0" w:line="240" w:lineRule="auto"/>
        <w:jc w:val="center"/>
        <w:rPr>
          <w:rFonts w:cs="Arial"/>
          <w:b/>
          <w:bCs/>
          <w:sz w:val="20"/>
          <w:szCs w:val="20"/>
          <w:lang w:eastAsia="de-DE"/>
        </w:rPr>
      </w:pPr>
      <w:r>
        <w:rPr>
          <w:rFonts w:cs="Arial"/>
          <w:b/>
          <w:bCs/>
          <w:sz w:val="20"/>
          <w:szCs w:val="20"/>
          <w:lang w:eastAsia="de-DE"/>
        </w:rPr>
        <w:t>IX.</w:t>
      </w:r>
    </w:p>
    <w:p w:rsidR="003E6E9A" w:rsidRPr="003E6E9A" w:rsidRDefault="003E6E9A" w:rsidP="003E6E9A">
      <w:pPr>
        <w:spacing w:after="0" w:line="240" w:lineRule="auto"/>
        <w:ind w:left="420"/>
        <w:jc w:val="center"/>
        <w:rPr>
          <w:rFonts w:cs="Arial"/>
          <w:b/>
          <w:sz w:val="20"/>
          <w:szCs w:val="20"/>
          <w:lang w:eastAsia="de-DE"/>
        </w:rPr>
      </w:pPr>
      <w:r w:rsidRPr="003E6E9A">
        <w:rPr>
          <w:rFonts w:cs="Arial"/>
          <w:b/>
          <w:sz w:val="20"/>
          <w:szCs w:val="20"/>
          <w:lang w:eastAsia="de-DE"/>
        </w:rPr>
        <w:t>Verspätete Abgabe der Drittschuldnererklärung - Beweiskraft der Zustellungsurkunde</w:t>
      </w:r>
    </w:p>
    <w:p w:rsidR="003E6E9A" w:rsidRPr="003B40D8" w:rsidRDefault="003E6E9A" w:rsidP="003E6E9A">
      <w:pPr>
        <w:spacing w:after="0" w:line="240" w:lineRule="auto"/>
        <w:jc w:val="center"/>
        <w:rPr>
          <w:rFonts w:cs="Arial"/>
          <w:sz w:val="20"/>
          <w:szCs w:val="20"/>
        </w:rPr>
      </w:pPr>
      <w:r w:rsidRPr="003B40D8">
        <w:rPr>
          <w:rFonts w:cs="Arial"/>
          <w:sz w:val="20"/>
          <w:szCs w:val="20"/>
          <w:lang w:eastAsia="de-DE"/>
        </w:rPr>
        <w:t>L</w:t>
      </w:r>
      <w:r>
        <w:rPr>
          <w:rFonts w:cs="Arial"/>
          <w:sz w:val="20"/>
          <w:szCs w:val="20"/>
          <w:lang w:eastAsia="de-DE"/>
        </w:rPr>
        <w:t>AG</w:t>
      </w:r>
      <w:r w:rsidRPr="003B40D8">
        <w:rPr>
          <w:rFonts w:cs="Arial"/>
          <w:sz w:val="20"/>
          <w:szCs w:val="20"/>
          <w:lang w:eastAsia="de-DE"/>
        </w:rPr>
        <w:t xml:space="preserve"> Mecklenburg-Vorpommern, Urteil vom 11. Mai 2017</w:t>
      </w:r>
      <w:r>
        <w:rPr>
          <w:rFonts w:cs="Arial"/>
          <w:sz w:val="20"/>
          <w:szCs w:val="20"/>
          <w:lang w:eastAsia="de-DE"/>
        </w:rPr>
        <w:t>, Az.</w:t>
      </w:r>
      <w:r w:rsidRPr="003B40D8">
        <w:rPr>
          <w:rFonts w:cs="Arial"/>
          <w:sz w:val="20"/>
          <w:szCs w:val="20"/>
          <w:lang w:eastAsia="de-DE"/>
        </w:rPr>
        <w:t xml:space="preserve"> 5 Sa 110/16</w:t>
      </w:r>
    </w:p>
    <w:p w:rsidR="003E6E9A" w:rsidRDefault="003E6E9A" w:rsidP="003E6E9A">
      <w:pPr>
        <w:spacing w:after="0" w:line="240" w:lineRule="auto"/>
        <w:rPr>
          <w:rFonts w:cs="Arial"/>
          <w:sz w:val="20"/>
          <w:szCs w:val="20"/>
          <w:lang w:eastAsia="de-DE"/>
        </w:rPr>
      </w:pPr>
    </w:p>
    <w:p w:rsidR="003E6E9A" w:rsidRDefault="003E6E9A" w:rsidP="0058157C">
      <w:pPr>
        <w:spacing w:after="0" w:line="240" w:lineRule="auto"/>
        <w:jc w:val="both"/>
        <w:rPr>
          <w:rFonts w:cs="Arial"/>
          <w:sz w:val="20"/>
          <w:szCs w:val="20"/>
          <w:lang w:eastAsia="de-DE"/>
        </w:rPr>
      </w:pPr>
      <w:r w:rsidRPr="003B40D8">
        <w:rPr>
          <w:rFonts w:cs="Arial"/>
          <w:sz w:val="20"/>
          <w:szCs w:val="20"/>
          <w:lang w:eastAsia="de-DE"/>
        </w:rPr>
        <w:t xml:space="preserve">1. Die Auskunftspflicht nach </w:t>
      </w:r>
      <w:hyperlink r:id="rId29" w:anchor="focuspoint" w:history="1">
        <w:r w:rsidRPr="003B40D8">
          <w:rPr>
            <w:rFonts w:cs="Arial"/>
            <w:sz w:val="20"/>
            <w:szCs w:val="20"/>
            <w:lang w:eastAsia="de-DE"/>
          </w:rPr>
          <w:t>§ 840 Abs. 1 ZPO</w:t>
        </w:r>
      </w:hyperlink>
      <w:r w:rsidRPr="003B40D8">
        <w:rPr>
          <w:rFonts w:cs="Arial"/>
          <w:sz w:val="20"/>
          <w:szCs w:val="20"/>
          <w:lang w:eastAsia="de-DE"/>
        </w:rPr>
        <w:t xml:space="preserve"> hängt nicht davon ab, ob dem Hauptschuldner die gepfändeten Forderungen tatsächlich zustehen. Die Auskunftspflicht besteht auch dann, wenn die Pfändung ins Leere geht.</w:t>
      </w:r>
    </w:p>
    <w:p w:rsidR="00B959B1" w:rsidRDefault="003E6E9A" w:rsidP="0058157C">
      <w:pPr>
        <w:spacing w:after="0" w:line="240" w:lineRule="auto"/>
        <w:jc w:val="both"/>
        <w:rPr>
          <w:rFonts w:cs="Arial"/>
          <w:sz w:val="20"/>
          <w:szCs w:val="20"/>
          <w:lang w:eastAsia="de-DE"/>
        </w:rPr>
      </w:pPr>
      <w:r w:rsidRPr="003B40D8">
        <w:rPr>
          <w:rFonts w:cs="Arial"/>
          <w:sz w:val="20"/>
          <w:szCs w:val="20"/>
          <w:lang w:eastAsia="de-DE"/>
        </w:rPr>
        <w:t>2. Die Zustellungsurkunde begründet vollen Beweis der darin bezeugten Tatsachen; der Beweis der Unrichtigkeit der bezeugten Tatsachen ist zulässig (</w:t>
      </w:r>
      <w:hyperlink r:id="rId30" w:anchor="focuspoint" w:history="1">
        <w:r w:rsidRPr="003B40D8">
          <w:rPr>
            <w:rFonts w:cs="Arial"/>
            <w:sz w:val="20"/>
            <w:szCs w:val="20"/>
            <w:lang w:eastAsia="de-DE"/>
          </w:rPr>
          <w:t>§ 418 Abs. 1 und 2 ZPO</w:t>
        </w:r>
      </w:hyperlink>
      <w:r w:rsidRPr="003B40D8">
        <w:rPr>
          <w:rFonts w:cs="Arial"/>
          <w:sz w:val="20"/>
          <w:szCs w:val="20"/>
          <w:lang w:eastAsia="de-DE"/>
        </w:rPr>
        <w:t>). Für den Beweis der Unrichtigkeit genügt es nicht, wenn der Adressat der Zustellung schlicht behauptet, das Schriftstück nicht erhalten zu haben. Für den Gegenbeweis ist es vielmehr erforderlich, einen anderen als den beurkundeten Geschehensablauf zu beweisen und somit ein Fehlverhalten des Zustellers und eine objektive Falschbeurkundung zu belegen. Notwendig ist der volle Beweis in der Weise, dass die Beweiswirkung der Zustellungsurkunde vollständig entkräftet und jede Möglichkeit der Richtigkeit der in ihr niedergelegten Tatsachen ausgeschlossen ist.</w:t>
      </w:r>
    </w:p>
    <w:p w:rsidR="003E6E9A" w:rsidRDefault="003E6E9A" w:rsidP="003E6E9A">
      <w:pPr>
        <w:spacing w:after="0" w:line="240" w:lineRule="auto"/>
        <w:rPr>
          <w:rFonts w:cs="Arial"/>
          <w:sz w:val="20"/>
          <w:szCs w:val="20"/>
          <w:lang w:eastAsia="de-DE"/>
        </w:rPr>
      </w:pPr>
    </w:p>
    <w:p w:rsidR="00B959B1" w:rsidRPr="00B75A98" w:rsidRDefault="003E6E9A" w:rsidP="0058157C">
      <w:pPr>
        <w:spacing w:after="0" w:line="240" w:lineRule="auto"/>
        <w:jc w:val="center"/>
        <w:rPr>
          <w:rFonts w:cs="Arial"/>
          <w:b/>
          <w:sz w:val="20"/>
          <w:szCs w:val="20"/>
          <w:lang w:eastAsia="de-DE"/>
        </w:rPr>
      </w:pPr>
      <w:r w:rsidRPr="00B75A98">
        <w:rPr>
          <w:rFonts w:cs="Arial"/>
          <w:b/>
          <w:sz w:val="20"/>
          <w:szCs w:val="20"/>
          <w:lang w:eastAsia="de-DE"/>
        </w:rPr>
        <w:t>X.</w:t>
      </w:r>
    </w:p>
    <w:p w:rsidR="003E6E9A" w:rsidRPr="0058157C" w:rsidRDefault="003E6E9A" w:rsidP="0058157C">
      <w:pPr>
        <w:spacing w:after="0" w:line="240" w:lineRule="auto"/>
        <w:jc w:val="center"/>
        <w:rPr>
          <w:rFonts w:cs="Arial"/>
          <w:b/>
          <w:sz w:val="20"/>
          <w:szCs w:val="20"/>
          <w:lang w:eastAsia="de-DE"/>
        </w:rPr>
      </w:pPr>
      <w:r w:rsidRPr="0058157C">
        <w:rPr>
          <w:rFonts w:cs="Arial"/>
          <w:b/>
          <w:sz w:val="20"/>
          <w:szCs w:val="20"/>
          <w:lang w:eastAsia="de-DE"/>
        </w:rPr>
        <w:t>Aussetzung eines Kündigungsschutzverfahrens wegen Anfechtung der Zustimmung des Integrationsamtes</w:t>
      </w:r>
    </w:p>
    <w:p w:rsidR="0058157C" w:rsidRDefault="0058157C" w:rsidP="0058157C">
      <w:pPr>
        <w:spacing w:after="0" w:line="240" w:lineRule="auto"/>
        <w:jc w:val="center"/>
        <w:rPr>
          <w:rFonts w:cs="Arial"/>
          <w:sz w:val="20"/>
          <w:szCs w:val="20"/>
          <w:lang w:eastAsia="de-DE"/>
        </w:rPr>
      </w:pPr>
      <w:r w:rsidRPr="003B40D8">
        <w:rPr>
          <w:rFonts w:cs="Arial"/>
          <w:sz w:val="20"/>
          <w:szCs w:val="20"/>
          <w:lang w:eastAsia="de-DE"/>
        </w:rPr>
        <w:t>L</w:t>
      </w:r>
      <w:r>
        <w:rPr>
          <w:rFonts w:cs="Arial"/>
          <w:sz w:val="20"/>
          <w:szCs w:val="20"/>
          <w:lang w:eastAsia="de-DE"/>
        </w:rPr>
        <w:t>AG</w:t>
      </w:r>
      <w:r w:rsidRPr="003B40D8">
        <w:rPr>
          <w:rFonts w:cs="Arial"/>
          <w:sz w:val="20"/>
          <w:szCs w:val="20"/>
          <w:lang w:eastAsia="de-DE"/>
        </w:rPr>
        <w:t xml:space="preserve"> Mecklenburg-Vorpommern, Beschluss vom 17. März 2017</w:t>
      </w:r>
      <w:r>
        <w:rPr>
          <w:rFonts w:cs="Arial"/>
          <w:sz w:val="20"/>
          <w:szCs w:val="20"/>
          <w:lang w:eastAsia="de-DE"/>
        </w:rPr>
        <w:t xml:space="preserve">, Az. </w:t>
      </w:r>
      <w:r w:rsidRPr="003B40D8">
        <w:rPr>
          <w:rFonts w:cs="Arial"/>
          <w:sz w:val="20"/>
          <w:szCs w:val="20"/>
          <w:lang w:eastAsia="de-DE"/>
        </w:rPr>
        <w:t>5 Ta 8/17 </w:t>
      </w:r>
    </w:p>
    <w:p w:rsidR="0058157C" w:rsidRPr="003B40D8" w:rsidRDefault="0058157C" w:rsidP="0058157C">
      <w:pPr>
        <w:spacing w:after="0" w:line="240" w:lineRule="auto"/>
        <w:jc w:val="center"/>
        <w:rPr>
          <w:rFonts w:cs="Arial"/>
          <w:sz w:val="20"/>
          <w:szCs w:val="20"/>
          <w:lang w:eastAsia="de-DE"/>
        </w:rPr>
      </w:pPr>
    </w:p>
    <w:p w:rsidR="0058157C" w:rsidRPr="003B40D8" w:rsidRDefault="0058157C" w:rsidP="0058157C">
      <w:pPr>
        <w:spacing w:after="0" w:line="240" w:lineRule="auto"/>
        <w:jc w:val="both"/>
        <w:rPr>
          <w:rFonts w:cs="Arial"/>
          <w:sz w:val="20"/>
          <w:szCs w:val="20"/>
          <w:lang w:eastAsia="de-DE"/>
        </w:rPr>
      </w:pPr>
      <w:r w:rsidRPr="003B40D8">
        <w:rPr>
          <w:rFonts w:cs="Arial"/>
          <w:sz w:val="20"/>
          <w:szCs w:val="20"/>
          <w:lang w:eastAsia="de-DE"/>
        </w:rPr>
        <w:t xml:space="preserve">Es ist regelmäßig ermessensfehlerhaft, ein Kündigungsschutzverfahren bis zum rechtskräftigen Abschluss des Widerspruchs- bzw. Klageverfahrens gegen die vom Integrationsamt erteilte Zustimmung zur Kündigung nach </w:t>
      </w:r>
      <w:hyperlink r:id="rId31" w:anchor="focuspoint" w:history="1">
        <w:r w:rsidRPr="003B40D8">
          <w:rPr>
            <w:rFonts w:cs="Arial"/>
            <w:sz w:val="20"/>
            <w:szCs w:val="20"/>
            <w:lang w:eastAsia="de-DE"/>
          </w:rPr>
          <w:t>§ 148 ZPO</w:t>
        </w:r>
      </w:hyperlink>
      <w:r w:rsidRPr="003B40D8">
        <w:rPr>
          <w:rFonts w:cs="Arial"/>
          <w:sz w:val="20"/>
          <w:szCs w:val="20"/>
          <w:lang w:eastAsia="de-DE"/>
        </w:rPr>
        <w:t xml:space="preserve"> auszusetzen.</w:t>
      </w:r>
    </w:p>
    <w:p w:rsidR="003E6E9A" w:rsidRPr="003B40D8" w:rsidRDefault="003E6E9A" w:rsidP="0058157C">
      <w:pPr>
        <w:spacing w:after="0" w:line="240" w:lineRule="auto"/>
        <w:jc w:val="both"/>
        <w:rPr>
          <w:rFonts w:cs="Arial"/>
          <w:sz w:val="20"/>
          <w:szCs w:val="20"/>
          <w:lang w:eastAsia="de-DE"/>
        </w:rPr>
      </w:pPr>
    </w:p>
    <w:p w:rsidR="00B959B1" w:rsidRDefault="00B959B1">
      <w:pPr>
        <w:rPr>
          <w:rFonts w:cs="Arial"/>
          <w:sz w:val="20"/>
          <w:szCs w:val="20"/>
        </w:rPr>
      </w:pP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Für Rückfragen stehe ich Ihnen gerne zur Verfügung.</w:t>
      </w:r>
    </w:p>
    <w:p w:rsidR="00B75A98" w:rsidRPr="00D01522" w:rsidRDefault="00B75A98" w:rsidP="00B75A98">
      <w:pPr>
        <w:tabs>
          <w:tab w:val="left" w:pos="3330"/>
        </w:tabs>
        <w:spacing w:after="0" w:line="240" w:lineRule="auto"/>
        <w:jc w:val="both"/>
        <w:rPr>
          <w:rFonts w:cs="Arial"/>
          <w:sz w:val="20"/>
          <w:szCs w:val="20"/>
          <w:lang w:eastAsia="de-DE"/>
        </w:rPr>
      </w:pP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Michael Henn</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Rechtsanwalt</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Fachanwalt für Erbrecht</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 xml:space="preserve">Fachanwalt für Arbeitsrecht </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 xml:space="preserve">Schriftleiter mittelstandsdepesche </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Rechtsanwälte Dr. Gaupp &amp; Coll.</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 xml:space="preserve">Kronprinzstr. 14 </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70173 Stuttgart</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Tel.: 0711/ 30 58 93-0</w:t>
      </w:r>
      <w:r w:rsidRPr="00D01522">
        <w:rPr>
          <w:rFonts w:cs="Arial"/>
          <w:sz w:val="20"/>
          <w:szCs w:val="20"/>
          <w:lang w:eastAsia="de-DE"/>
        </w:rPr>
        <w:tab/>
      </w:r>
      <w:r w:rsidRPr="00D01522">
        <w:rPr>
          <w:rFonts w:cs="Arial"/>
          <w:sz w:val="20"/>
          <w:szCs w:val="20"/>
          <w:lang w:eastAsia="de-DE"/>
        </w:rPr>
        <w:tab/>
        <w:t>Fax: 0711/ 30 58 93-11</w:t>
      </w:r>
    </w:p>
    <w:p w:rsidR="00B75A98" w:rsidRPr="00D01522" w:rsidRDefault="00B75A98" w:rsidP="00B75A98">
      <w:pPr>
        <w:spacing w:after="0" w:line="240" w:lineRule="auto"/>
        <w:jc w:val="both"/>
        <w:rPr>
          <w:rFonts w:cs="Arial"/>
          <w:sz w:val="20"/>
          <w:szCs w:val="20"/>
          <w:lang w:eastAsia="de-DE"/>
        </w:rPr>
      </w:pPr>
      <w:r w:rsidRPr="00D01522">
        <w:rPr>
          <w:rFonts w:cs="Arial"/>
          <w:sz w:val="20"/>
          <w:szCs w:val="20"/>
          <w:lang w:eastAsia="de-DE"/>
        </w:rPr>
        <w:t>e-Mail: henn@drgaupp.de</w:t>
      </w:r>
      <w:r w:rsidRPr="00D01522">
        <w:rPr>
          <w:rFonts w:cs="Arial"/>
          <w:sz w:val="20"/>
          <w:szCs w:val="20"/>
          <w:lang w:eastAsia="de-DE"/>
        </w:rPr>
        <w:tab/>
      </w:r>
      <w:hyperlink r:id="rId32" w:history="1">
        <w:r w:rsidRPr="00D01522">
          <w:rPr>
            <w:rFonts w:cs="Arial"/>
            <w:color w:val="0000FF"/>
            <w:sz w:val="20"/>
            <w:szCs w:val="20"/>
            <w:u w:val="single"/>
            <w:lang w:eastAsia="de-DE"/>
          </w:rPr>
          <w:t>www.drgaupp.de</w:t>
        </w:r>
      </w:hyperlink>
    </w:p>
    <w:p w:rsidR="00B75A98" w:rsidRPr="00D01522" w:rsidRDefault="00B75A98" w:rsidP="00B75A98">
      <w:pPr>
        <w:rPr>
          <w:rFonts w:cs="Arial"/>
          <w:sz w:val="20"/>
          <w:szCs w:val="20"/>
          <w:lang w:eastAsia="de-DE"/>
        </w:rPr>
      </w:pPr>
    </w:p>
    <w:sectPr w:rsidR="00B75A98" w:rsidRPr="00D01522">
      <w:head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04" w:rsidRDefault="002A3804" w:rsidP="003B40D8">
      <w:pPr>
        <w:spacing w:after="0" w:line="240" w:lineRule="auto"/>
      </w:pPr>
      <w:r>
        <w:separator/>
      </w:r>
    </w:p>
  </w:endnote>
  <w:endnote w:type="continuationSeparator" w:id="0">
    <w:p w:rsidR="002A3804" w:rsidRDefault="002A3804" w:rsidP="003B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Univers 57 Condensed"/>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04" w:rsidRDefault="002A3804" w:rsidP="003B40D8">
      <w:pPr>
        <w:spacing w:after="0" w:line="240" w:lineRule="auto"/>
      </w:pPr>
      <w:r>
        <w:separator/>
      </w:r>
    </w:p>
  </w:footnote>
  <w:footnote w:type="continuationSeparator" w:id="0">
    <w:p w:rsidR="002A3804" w:rsidRDefault="002A3804" w:rsidP="003B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D8" w:rsidRPr="008864E6" w:rsidRDefault="003B40D8" w:rsidP="003B40D8">
    <w:pPr>
      <w:tabs>
        <w:tab w:val="left" w:pos="2400"/>
        <w:tab w:val="center" w:pos="4536"/>
        <w:tab w:val="left" w:pos="7200"/>
        <w:tab w:val="right" w:pos="9072"/>
      </w:tabs>
      <w:spacing w:after="0" w:line="240" w:lineRule="auto"/>
      <w:jc w:val="center"/>
      <w:rPr>
        <w:rFonts w:cs="Arial"/>
        <w:b/>
        <w:bCs/>
        <w:sz w:val="28"/>
        <w:szCs w:val="28"/>
        <w:lang w:eastAsia="de-DE"/>
      </w:rPr>
    </w:pPr>
    <w:r w:rsidRPr="008864E6">
      <w:rPr>
        <w:rFonts w:cs="Arial"/>
        <w:b/>
        <w:bCs/>
        <w:sz w:val="28"/>
        <w:szCs w:val="28"/>
        <w:lang w:eastAsia="de-DE"/>
      </w:rPr>
      <w:t>mittelstandsdepesche 0</w:t>
    </w:r>
    <w:r>
      <w:rPr>
        <w:rFonts w:cs="Arial"/>
        <w:b/>
        <w:bCs/>
        <w:sz w:val="28"/>
        <w:szCs w:val="28"/>
        <w:lang w:eastAsia="de-DE"/>
      </w:rPr>
      <w:t>5</w:t>
    </w:r>
    <w:r w:rsidRPr="008864E6">
      <w:rPr>
        <w:rFonts w:cs="Arial"/>
        <w:b/>
        <w:bCs/>
        <w:sz w:val="28"/>
        <w:szCs w:val="28"/>
        <w:lang w:eastAsia="de-DE"/>
      </w:rPr>
      <w:t>-2017</w:t>
    </w:r>
  </w:p>
  <w:p w:rsidR="003B40D8" w:rsidRPr="003B40D8" w:rsidRDefault="003B40D8" w:rsidP="003B40D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A1"/>
    <w:rsid w:val="00150388"/>
    <w:rsid w:val="00220EA1"/>
    <w:rsid w:val="002A3804"/>
    <w:rsid w:val="002E462C"/>
    <w:rsid w:val="003B40D8"/>
    <w:rsid w:val="003E6E9A"/>
    <w:rsid w:val="005610AB"/>
    <w:rsid w:val="0058157C"/>
    <w:rsid w:val="005912AF"/>
    <w:rsid w:val="00837FBF"/>
    <w:rsid w:val="008864E6"/>
    <w:rsid w:val="00A6713D"/>
    <w:rsid w:val="00AD2320"/>
    <w:rsid w:val="00B34897"/>
    <w:rsid w:val="00B75A98"/>
    <w:rsid w:val="00B94A82"/>
    <w:rsid w:val="00B959B1"/>
    <w:rsid w:val="00C770BC"/>
    <w:rsid w:val="00CC7209"/>
    <w:rsid w:val="00D01522"/>
    <w:rsid w:val="00D32887"/>
    <w:rsid w:val="00E51053"/>
    <w:rsid w:val="00E6414C"/>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D967FB-5D4A-407A-862A-AFFB287E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
    <w:qFormat/>
    <w:rsid w:val="002E462C"/>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berschrift4">
    <w:name w:val="heading 4"/>
    <w:basedOn w:val="Standard"/>
    <w:link w:val="berschrift4Zchn"/>
    <w:uiPriority w:val="9"/>
    <w:qFormat/>
    <w:rsid w:val="00220EA1"/>
    <w:pPr>
      <w:spacing w:before="100" w:beforeAutospacing="1" w:after="100" w:afterAutospacing="1" w:line="240" w:lineRule="auto"/>
      <w:outlineLvl w:val="3"/>
    </w:pPr>
    <w:rPr>
      <w:rFonts w:ascii="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E462C"/>
    <w:rPr>
      <w:rFonts w:asciiTheme="majorHAnsi" w:eastAsiaTheme="majorEastAsia" w:hAnsiTheme="majorHAnsi" w:cs="Times New Roman"/>
      <w:color w:val="2E74B5" w:themeColor="accent1" w:themeShade="BF"/>
      <w:sz w:val="32"/>
      <w:szCs w:val="32"/>
    </w:rPr>
  </w:style>
  <w:style w:type="character" w:customStyle="1" w:styleId="berschrift4Zchn">
    <w:name w:val="Überschrift 4 Zchn"/>
    <w:basedOn w:val="Absatz-Standardschriftart"/>
    <w:link w:val="berschrift4"/>
    <w:uiPriority w:val="9"/>
    <w:locked/>
    <w:rsid w:val="00220EA1"/>
    <w:rPr>
      <w:rFonts w:ascii="Times New Roman" w:hAnsi="Times New Roman" w:cs="Times New Roman"/>
      <w:b/>
      <w:bCs/>
      <w:sz w:val="24"/>
      <w:szCs w:val="24"/>
      <w:lang w:val="x-none" w:eastAsia="de-DE"/>
    </w:rPr>
  </w:style>
  <w:style w:type="character" w:styleId="Fett">
    <w:name w:val="Strong"/>
    <w:basedOn w:val="Absatz-Standardschriftart"/>
    <w:uiPriority w:val="22"/>
    <w:qFormat/>
    <w:rsid w:val="00220EA1"/>
    <w:rPr>
      <w:rFonts w:cs="Times New Roman"/>
      <w:b/>
      <w:bCs/>
    </w:rPr>
  </w:style>
  <w:style w:type="character" w:styleId="Hyperlink">
    <w:name w:val="Hyperlink"/>
    <w:basedOn w:val="Absatz-Standardschriftart"/>
    <w:uiPriority w:val="99"/>
    <w:semiHidden/>
    <w:unhideWhenUsed/>
    <w:rsid w:val="00220EA1"/>
    <w:rPr>
      <w:rFonts w:cs="Times New Roman"/>
      <w:color w:val="0000FF"/>
      <w:u w:val="single"/>
    </w:rPr>
  </w:style>
  <w:style w:type="paragraph" w:styleId="StandardWeb">
    <w:name w:val="Normal (Web)"/>
    <w:basedOn w:val="Standard"/>
    <w:uiPriority w:val="99"/>
    <w:semiHidden/>
    <w:unhideWhenUsed/>
    <w:rsid w:val="00220EA1"/>
    <w:pPr>
      <w:spacing w:before="100" w:beforeAutospacing="1" w:after="100" w:afterAutospacing="1" w:line="240" w:lineRule="auto"/>
    </w:pPr>
    <w:rPr>
      <w:rFonts w:ascii="Times New Roman" w:hAnsi="Times New Roman"/>
      <w:sz w:val="24"/>
      <w:szCs w:val="24"/>
      <w:lang w:eastAsia="de-DE"/>
    </w:rPr>
  </w:style>
  <w:style w:type="paragraph" w:customStyle="1" w:styleId="fliesstextinhalt">
    <w:name w:val="fliesstextinhalt"/>
    <w:basedOn w:val="Standard"/>
    <w:rsid w:val="002E462C"/>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3B40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3B40D8"/>
    <w:rPr>
      <w:rFonts w:cs="Times New Roman"/>
    </w:rPr>
  </w:style>
  <w:style w:type="paragraph" w:styleId="Fuzeile">
    <w:name w:val="footer"/>
    <w:basedOn w:val="Standard"/>
    <w:link w:val="FuzeileZchn"/>
    <w:uiPriority w:val="99"/>
    <w:unhideWhenUsed/>
    <w:rsid w:val="003B40D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3B40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26153">
      <w:marLeft w:val="0"/>
      <w:marRight w:val="0"/>
      <w:marTop w:val="0"/>
      <w:marBottom w:val="0"/>
      <w:divBdr>
        <w:top w:val="none" w:sz="0" w:space="0" w:color="auto"/>
        <w:left w:val="none" w:sz="0" w:space="0" w:color="auto"/>
        <w:bottom w:val="none" w:sz="0" w:space="0" w:color="auto"/>
        <w:right w:val="none" w:sz="0" w:space="0" w:color="auto"/>
      </w:divBdr>
      <w:divsChild>
        <w:div w:id="882326161">
          <w:marLeft w:val="0"/>
          <w:marRight w:val="0"/>
          <w:marTop w:val="0"/>
          <w:marBottom w:val="0"/>
          <w:divBdr>
            <w:top w:val="none" w:sz="0" w:space="0" w:color="auto"/>
            <w:left w:val="none" w:sz="0" w:space="0" w:color="auto"/>
            <w:bottom w:val="none" w:sz="0" w:space="0" w:color="auto"/>
            <w:right w:val="none" w:sz="0" w:space="0" w:color="auto"/>
          </w:divBdr>
          <w:divsChild>
            <w:div w:id="882326163">
              <w:marLeft w:val="-300"/>
              <w:marRight w:val="0"/>
              <w:marTop w:val="60"/>
              <w:marBottom w:val="0"/>
              <w:divBdr>
                <w:top w:val="none" w:sz="0" w:space="0" w:color="auto"/>
                <w:left w:val="none" w:sz="0" w:space="0" w:color="auto"/>
                <w:bottom w:val="none" w:sz="0" w:space="0" w:color="auto"/>
                <w:right w:val="none" w:sz="0" w:space="0" w:color="auto"/>
              </w:divBdr>
            </w:div>
          </w:divsChild>
        </w:div>
        <w:div w:id="882326176">
          <w:marLeft w:val="0"/>
          <w:marRight w:val="0"/>
          <w:marTop w:val="0"/>
          <w:marBottom w:val="0"/>
          <w:divBdr>
            <w:top w:val="none" w:sz="0" w:space="0" w:color="auto"/>
            <w:left w:val="none" w:sz="0" w:space="0" w:color="auto"/>
            <w:bottom w:val="none" w:sz="0" w:space="0" w:color="auto"/>
            <w:right w:val="none" w:sz="0" w:space="0" w:color="auto"/>
          </w:divBdr>
          <w:divsChild>
            <w:div w:id="882326156">
              <w:marLeft w:val="0"/>
              <w:marRight w:val="0"/>
              <w:marTop w:val="0"/>
              <w:marBottom w:val="0"/>
              <w:divBdr>
                <w:top w:val="none" w:sz="0" w:space="0" w:color="auto"/>
                <w:left w:val="none" w:sz="0" w:space="0" w:color="auto"/>
                <w:bottom w:val="none" w:sz="0" w:space="0" w:color="auto"/>
                <w:right w:val="none" w:sz="0" w:space="0" w:color="auto"/>
              </w:divBdr>
            </w:div>
            <w:div w:id="882326172">
              <w:marLeft w:val="0"/>
              <w:marRight w:val="0"/>
              <w:marTop w:val="0"/>
              <w:marBottom w:val="0"/>
              <w:divBdr>
                <w:top w:val="none" w:sz="0" w:space="0" w:color="auto"/>
                <w:left w:val="none" w:sz="0" w:space="0" w:color="auto"/>
                <w:bottom w:val="none" w:sz="0" w:space="0" w:color="auto"/>
                <w:right w:val="none" w:sz="0" w:space="0" w:color="auto"/>
              </w:divBdr>
              <w:divsChild>
                <w:div w:id="8823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6162">
      <w:marLeft w:val="0"/>
      <w:marRight w:val="0"/>
      <w:marTop w:val="0"/>
      <w:marBottom w:val="0"/>
      <w:divBdr>
        <w:top w:val="none" w:sz="0" w:space="0" w:color="auto"/>
        <w:left w:val="none" w:sz="0" w:space="0" w:color="auto"/>
        <w:bottom w:val="none" w:sz="0" w:space="0" w:color="auto"/>
        <w:right w:val="none" w:sz="0" w:space="0" w:color="auto"/>
      </w:divBdr>
      <w:divsChild>
        <w:div w:id="882326150">
          <w:marLeft w:val="0"/>
          <w:marRight w:val="0"/>
          <w:marTop w:val="0"/>
          <w:marBottom w:val="0"/>
          <w:divBdr>
            <w:top w:val="none" w:sz="0" w:space="0" w:color="auto"/>
            <w:left w:val="none" w:sz="0" w:space="0" w:color="auto"/>
            <w:bottom w:val="none" w:sz="0" w:space="0" w:color="auto"/>
            <w:right w:val="none" w:sz="0" w:space="0" w:color="auto"/>
          </w:divBdr>
          <w:divsChild>
            <w:div w:id="882326178">
              <w:marLeft w:val="0"/>
              <w:marRight w:val="0"/>
              <w:marTop w:val="0"/>
              <w:marBottom w:val="0"/>
              <w:divBdr>
                <w:top w:val="none" w:sz="0" w:space="0" w:color="auto"/>
                <w:left w:val="none" w:sz="0" w:space="0" w:color="auto"/>
                <w:bottom w:val="none" w:sz="0" w:space="0" w:color="auto"/>
                <w:right w:val="none" w:sz="0" w:space="0" w:color="auto"/>
              </w:divBdr>
            </w:div>
            <w:div w:id="882326200">
              <w:marLeft w:val="0"/>
              <w:marRight w:val="0"/>
              <w:marTop w:val="0"/>
              <w:marBottom w:val="0"/>
              <w:divBdr>
                <w:top w:val="none" w:sz="0" w:space="0" w:color="auto"/>
                <w:left w:val="none" w:sz="0" w:space="0" w:color="auto"/>
                <w:bottom w:val="none" w:sz="0" w:space="0" w:color="auto"/>
                <w:right w:val="none" w:sz="0" w:space="0" w:color="auto"/>
              </w:divBdr>
              <w:divsChild>
                <w:div w:id="8823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6177">
          <w:marLeft w:val="0"/>
          <w:marRight w:val="0"/>
          <w:marTop w:val="0"/>
          <w:marBottom w:val="0"/>
          <w:divBdr>
            <w:top w:val="none" w:sz="0" w:space="0" w:color="auto"/>
            <w:left w:val="none" w:sz="0" w:space="0" w:color="auto"/>
            <w:bottom w:val="none" w:sz="0" w:space="0" w:color="auto"/>
            <w:right w:val="none" w:sz="0" w:space="0" w:color="auto"/>
          </w:divBdr>
          <w:divsChild>
            <w:div w:id="882326174">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882326165">
      <w:marLeft w:val="0"/>
      <w:marRight w:val="0"/>
      <w:marTop w:val="0"/>
      <w:marBottom w:val="0"/>
      <w:divBdr>
        <w:top w:val="none" w:sz="0" w:space="0" w:color="auto"/>
        <w:left w:val="none" w:sz="0" w:space="0" w:color="auto"/>
        <w:bottom w:val="none" w:sz="0" w:space="0" w:color="auto"/>
        <w:right w:val="none" w:sz="0" w:space="0" w:color="auto"/>
      </w:divBdr>
      <w:divsChild>
        <w:div w:id="882326167">
          <w:marLeft w:val="0"/>
          <w:marRight w:val="0"/>
          <w:marTop w:val="0"/>
          <w:marBottom w:val="0"/>
          <w:divBdr>
            <w:top w:val="none" w:sz="0" w:space="0" w:color="auto"/>
            <w:left w:val="none" w:sz="0" w:space="0" w:color="auto"/>
            <w:bottom w:val="none" w:sz="0" w:space="0" w:color="auto"/>
            <w:right w:val="none" w:sz="0" w:space="0" w:color="auto"/>
          </w:divBdr>
          <w:divsChild>
            <w:div w:id="882326193">
              <w:marLeft w:val="0"/>
              <w:marRight w:val="0"/>
              <w:marTop w:val="0"/>
              <w:marBottom w:val="0"/>
              <w:divBdr>
                <w:top w:val="none" w:sz="0" w:space="0" w:color="auto"/>
                <w:left w:val="none" w:sz="0" w:space="0" w:color="auto"/>
                <w:bottom w:val="none" w:sz="0" w:space="0" w:color="auto"/>
                <w:right w:val="none" w:sz="0" w:space="0" w:color="auto"/>
              </w:divBdr>
              <w:divsChild>
                <w:div w:id="882326157">
                  <w:marLeft w:val="0"/>
                  <w:marRight w:val="0"/>
                  <w:marTop w:val="0"/>
                  <w:marBottom w:val="0"/>
                  <w:divBdr>
                    <w:top w:val="none" w:sz="0" w:space="0" w:color="auto"/>
                    <w:left w:val="none" w:sz="0" w:space="0" w:color="auto"/>
                    <w:bottom w:val="none" w:sz="0" w:space="0" w:color="auto"/>
                    <w:right w:val="none" w:sz="0" w:space="0" w:color="auto"/>
                  </w:divBdr>
                </w:div>
              </w:divsChild>
            </w:div>
            <w:div w:id="882326195">
              <w:marLeft w:val="0"/>
              <w:marRight w:val="0"/>
              <w:marTop w:val="0"/>
              <w:marBottom w:val="0"/>
              <w:divBdr>
                <w:top w:val="none" w:sz="0" w:space="0" w:color="auto"/>
                <w:left w:val="none" w:sz="0" w:space="0" w:color="auto"/>
                <w:bottom w:val="none" w:sz="0" w:space="0" w:color="auto"/>
                <w:right w:val="none" w:sz="0" w:space="0" w:color="auto"/>
              </w:divBdr>
            </w:div>
          </w:divsChild>
        </w:div>
        <w:div w:id="882326184">
          <w:marLeft w:val="0"/>
          <w:marRight w:val="0"/>
          <w:marTop w:val="0"/>
          <w:marBottom w:val="0"/>
          <w:divBdr>
            <w:top w:val="none" w:sz="0" w:space="0" w:color="auto"/>
            <w:left w:val="none" w:sz="0" w:space="0" w:color="auto"/>
            <w:bottom w:val="none" w:sz="0" w:space="0" w:color="auto"/>
            <w:right w:val="none" w:sz="0" w:space="0" w:color="auto"/>
          </w:divBdr>
          <w:divsChild>
            <w:div w:id="882326148">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882326171">
      <w:marLeft w:val="0"/>
      <w:marRight w:val="0"/>
      <w:marTop w:val="0"/>
      <w:marBottom w:val="0"/>
      <w:divBdr>
        <w:top w:val="none" w:sz="0" w:space="0" w:color="auto"/>
        <w:left w:val="none" w:sz="0" w:space="0" w:color="auto"/>
        <w:bottom w:val="none" w:sz="0" w:space="0" w:color="auto"/>
        <w:right w:val="none" w:sz="0" w:space="0" w:color="auto"/>
      </w:divBdr>
      <w:divsChild>
        <w:div w:id="882326168">
          <w:marLeft w:val="0"/>
          <w:marRight w:val="0"/>
          <w:marTop w:val="0"/>
          <w:marBottom w:val="0"/>
          <w:divBdr>
            <w:top w:val="none" w:sz="0" w:space="0" w:color="auto"/>
            <w:left w:val="none" w:sz="0" w:space="0" w:color="auto"/>
            <w:bottom w:val="none" w:sz="0" w:space="0" w:color="auto"/>
            <w:right w:val="none" w:sz="0" w:space="0" w:color="auto"/>
          </w:divBdr>
          <w:divsChild>
            <w:div w:id="882326181">
              <w:marLeft w:val="0"/>
              <w:marRight w:val="0"/>
              <w:marTop w:val="0"/>
              <w:marBottom w:val="0"/>
              <w:divBdr>
                <w:top w:val="none" w:sz="0" w:space="0" w:color="auto"/>
                <w:left w:val="none" w:sz="0" w:space="0" w:color="auto"/>
                <w:bottom w:val="none" w:sz="0" w:space="0" w:color="auto"/>
                <w:right w:val="none" w:sz="0" w:space="0" w:color="auto"/>
              </w:divBdr>
              <w:divsChild>
                <w:div w:id="882326198">
                  <w:marLeft w:val="0"/>
                  <w:marRight w:val="0"/>
                  <w:marTop w:val="0"/>
                  <w:marBottom w:val="0"/>
                  <w:divBdr>
                    <w:top w:val="none" w:sz="0" w:space="0" w:color="auto"/>
                    <w:left w:val="none" w:sz="0" w:space="0" w:color="auto"/>
                    <w:bottom w:val="none" w:sz="0" w:space="0" w:color="auto"/>
                    <w:right w:val="none" w:sz="0" w:space="0" w:color="auto"/>
                  </w:divBdr>
                </w:div>
              </w:divsChild>
            </w:div>
            <w:div w:id="8823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6185">
      <w:marLeft w:val="0"/>
      <w:marRight w:val="0"/>
      <w:marTop w:val="0"/>
      <w:marBottom w:val="0"/>
      <w:divBdr>
        <w:top w:val="none" w:sz="0" w:space="0" w:color="auto"/>
        <w:left w:val="none" w:sz="0" w:space="0" w:color="auto"/>
        <w:bottom w:val="none" w:sz="0" w:space="0" w:color="auto"/>
        <w:right w:val="none" w:sz="0" w:space="0" w:color="auto"/>
      </w:divBdr>
      <w:divsChild>
        <w:div w:id="882326149">
          <w:marLeft w:val="0"/>
          <w:marRight w:val="0"/>
          <w:marTop w:val="0"/>
          <w:marBottom w:val="0"/>
          <w:divBdr>
            <w:top w:val="none" w:sz="0" w:space="0" w:color="auto"/>
            <w:left w:val="none" w:sz="0" w:space="0" w:color="auto"/>
            <w:bottom w:val="none" w:sz="0" w:space="0" w:color="auto"/>
            <w:right w:val="none" w:sz="0" w:space="0" w:color="auto"/>
          </w:divBdr>
          <w:divsChild>
            <w:div w:id="882326151">
              <w:marLeft w:val="0"/>
              <w:marRight w:val="0"/>
              <w:marTop w:val="0"/>
              <w:marBottom w:val="0"/>
              <w:divBdr>
                <w:top w:val="none" w:sz="0" w:space="0" w:color="auto"/>
                <w:left w:val="none" w:sz="0" w:space="0" w:color="auto"/>
                <w:bottom w:val="none" w:sz="0" w:space="0" w:color="auto"/>
                <w:right w:val="none" w:sz="0" w:space="0" w:color="auto"/>
              </w:divBdr>
              <w:divsChild>
                <w:div w:id="882326192">
                  <w:marLeft w:val="0"/>
                  <w:marRight w:val="0"/>
                  <w:marTop w:val="0"/>
                  <w:marBottom w:val="0"/>
                  <w:divBdr>
                    <w:top w:val="none" w:sz="0" w:space="0" w:color="auto"/>
                    <w:left w:val="none" w:sz="0" w:space="0" w:color="auto"/>
                    <w:bottom w:val="none" w:sz="0" w:space="0" w:color="auto"/>
                    <w:right w:val="none" w:sz="0" w:space="0" w:color="auto"/>
                  </w:divBdr>
                </w:div>
              </w:divsChild>
            </w:div>
            <w:div w:id="882326170">
              <w:marLeft w:val="0"/>
              <w:marRight w:val="0"/>
              <w:marTop w:val="0"/>
              <w:marBottom w:val="0"/>
              <w:divBdr>
                <w:top w:val="none" w:sz="0" w:space="0" w:color="auto"/>
                <w:left w:val="none" w:sz="0" w:space="0" w:color="auto"/>
                <w:bottom w:val="none" w:sz="0" w:space="0" w:color="auto"/>
                <w:right w:val="none" w:sz="0" w:space="0" w:color="auto"/>
              </w:divBdr>
            </w:div>
          </w:divsChild>
        </w:div>
        <w:div w:id="882326180">
          <w:marLeft w:val="0"/>
          <w:marRight w:val="0"/>
          <w:marTop w:val="0"/>
          <w:marBottom w:val="0"/>
          <w:divBdr>
            <w:top w:val="none" w:sz="0" w:space="0" w:color="auto"/>
            <w:left w:val="none" w:sz="0" w:space="0" w:color="auto"/>
            <w:bottom w:val="none" w:sz="0" w:space="0" w:color="auto"/>
            <w:right w:val="none" w:sz="0" w:space="0" w:color="auto"/>
          </w:divBdr>
          <w:divsChild>
            <w:div w:id="882326199">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882326197">
      <w:marLeft w:val="0"/>
      <w:marRight w:val="0"/>
      <w:marTop w:val="0"/>
      <w:marBottom w:val="0"/>
      <w:divBdr>
        <w:top w:val="none" w:sz="0" w:space="0" w:color="auto"/>
        <w:left w:val="none" w:sz="0" w:space="0" w:color="auto"/>
        <w:bottom w:val="none" w:sz="0" w:space="0" w:color="auto"/>
        <w:right w:val="none" w:sz="0" w:space="0" w:color="auto"/>
      </w:divBdr>
      <w:divsChild>
        <w:div w:id="882326183">
          <w:marLeft w:val="0"/>
          <w:marRight w:val="0"/>
          <w:marTop w:val="0"/>
          <w:marBottom w:val="0"/>
          <w:divBdr>
            <w:top w:val="none" w:sz="0" w:space="0" w:color="auto"/>
            <w:left w:val="none" w:sz="0" w:space="0" w:color="auto"/>
            <w:bottom w:val="none" w:sz="0" w:space="0" w:color="auto"/>
            <w:right w:val="none" w:sz="0" w:space="0" w:color="auto"/>
          </w:divBdr>
          <w:divsChild>
            <w:div w:id="882326152">
              <w:marLeft w:val="0"/>
              <w:marRight w:val="0"/>
              <w:marTop w:val="0"/>
              <w:marBottom w:val="0"/>
              <w:divBdr>
                <w:top w:val="none" w:sz="0" w:space="0" w:color="auto"/>
                <w:left w:val="none" w:sz="0" w:space="0" w:color="auto"/>
                <w:bottom w:val="none" w:sz="0" w:space="0" w:color="auto"/>
                <w:right w:val="none" w:sz="0" w:space="0" w:color="auto"/>
              </w:divBdr>
              <w:divsChild>
                <w:div w:id="882326155">
                  <w:marLeft w:val="0"/>
                  <w:marRight w:val="0"/>
                  <w:marTop w:val="0"/>
                  <w:marBottom w:val="0"/>
                  <w:divBdr>
                    <w:top w:val="none" w:sz="0" w:space="0" w:color="auto"/>
                    <w:left w:val="none" w:sz="0" w:space="0" w:color="auto"/>
                    <w:bottom w:val="none" w:sz="0" w:space="0" w:color="auto"/>
                    <w:right w:val="none" w:sz="0" w:space="0" w:color="auto"/>
                  </w:divBdr>
                </w:div>
              </w:divsChild>
            </w:div>
            <w:div w:id="8823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6202">
      <w:marLeft w:val="0"/>
      <w:marRight w:val="0"/>
      <w:marTop w:val="0"/>
      <w:marBottom w:val="0"/>
      <w:divBdr>
        <w:top w:val="none" w:sz="0" w:space="0" w:color="auto"/>
        <w:left w:val="none" w:sz="0" w:space="0" w:color="auto"/>
        <w:bottom w:val="none" w:sz="0" w:space="0" w:color="auto"/>
        <w:right w:val="none" w:sz="0" w:space="0" w:color="auto"/>
      </w:divBdr>
      <w:divsChild>
        <w:div w:id="882326154">
          <w:marLeft w:val="0"/>
          <w:marRight w:val="0"/>
          <w:marTop w:val="0"/>
          <w:marBottom w:val="0"/>
          <w:divBdr>
            <w:top w:val="none" w:sz="0" w:space="0" w:color="auto"/>
            <w:left w:val="none" w:sz="0" w:space="0" w:color="auto"/>
            <w:bottom w:val="none" w:sz="0" w:space="0" w:color="auto"/>
            <w:right w:val="none" w:sz="0" w:space="0" w:color="auto"/>
          </w:divBdr>
          <w:divsChild>
            <w:div w:id="882326159">
              <w:marLeft w:val="0"/>
              <w:marRight w:val="0"/>
              <w:marTop w:val="0"/>
              <w:marBottom w:val="0"/>
              <w:divBdr>
                <w:top w:val="none" w:sz="0" w:space="0" w:color="auto"/>
                <w:left w:val="none" w:sz="0" w:space="0" w:color="auto"/>
                <w:bottom w:val="none" w:sz="0" w:space="0" w:color="auto"/>
                <w:right w:val="none" w:sz="0" w:space="0" w:color="auto"/>
              </w:divBdr>
            </w:div>
            <w:div w:id="882326186">
              <w:marLeft w:val="0"/>
              <w:marRight w:val="0"/>
              <w:marTop w:val="0"/>
              <w:marBottom w:val="0"/>
              <w:divBdr>
                <w:top w:val="none" w:sz="0" w:space="0" w:color="auto"/>
                <w:left w:val="none" w:sz="0" w:space="0" w:color="auto"/>
                <w:bottom w:val="none" w:sz="0" w:space="0" w:color="auto"/>
                <w:right w:val="none" w:sz="0" w:space="0" w:color="auto"/>
              </w:divBdr>
              <w:divsChild>
                <w:div w:id="8823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6196">
          <w:marLeft w:val="0"/>
          <w:marRight w:val="0"/>
          <w:marTop w:val="0"/>
          <w:marBottom w:val="0"/>
          <w:divBdr>
            <w:top w:val="none" w:sz="0" w:space="0" w:color="auto"/>
            <w:left w:val="none" w:sz="0" w:space="0" w:color="auto"/>
            <w:bottom w:val="none" w:sz="0" w:space="0" w:color="auto"/>
            <w:right w:val="none" w:sz="0" w:space="0" w:color="auto"/>
          </w:divBdr>
          <w:divsChild>
            <w:div w:id="88232619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882326203">
      <w:marLeft w:val="0"/>
      <w:marRight w:val="0"/>
      <w:marTop w:val="0"/>
      <w:marBottom w:val="0"/>
      <w:divBdr>
        <w:top w:val="none" w:sz="0" w:space="0" w:color="auto"/>
        <w:left w:val="none" w:sz="0" w:space="0" w:color="auto"/>
        <w:bottom w:val="none" w:sz="0" w:space="0" w:color="auto"/>
        <w:right w:val="none" w:sz="0" w:space="0" w:color="auto"/>
      </w:divBdr>
      <w:divsChild>
        <w:div w:id="882326164">
          <w:marLeft w:val="0"/>
          <w:marRight w:val="0"/>
          <w:marTop w:val="0"/>
          <w:marBottom w:val="0"/>
          <w:divBdr>
            <w:top w:val="none" w:sz="0" w:space="0" w:color="auto"/>
            <w:left w:val="none" w:sz="0" w:space="0" w:color="auto"/>
            <w:bottom w:val="none" w:sz="0" w:space="0" w:color="auto"/>
            <w:right w:val="none" w:sz="0" w:space="0" w:color="auto"/>
          </w:divBdr>
          <w:divsChild>
            <w:div w:id="882326189">
              <w:marLeft w:val="-300"/>
              <w:marRight w:val="0"/>
              <w:marTop w:val="60"/>
              <w:marBottom w:val="0"/>
              <w:divBdr>
                <w:top w:val="none" w:sz="0" w:space="0" w:color="auto"/>
                <w:left w:val="none" w:sz="0" w:space="0" w:color="auto"/>
                <w:bottom w:val="none" w:sz="0" w:space="0" w:color="auto"/>
                <w:right w:val="none" w:sz="0" w:space="0" w:color="auto"/>
              </w:divBdr>
            </w:div>
          </w:divsChild>
        </w:div>
        <w:div w:id="882326206">
          <w:marLeft w:val="0"/>
          <w:marRight w:val="0"/>
          <w:marTop w:val="0"/>
          <w:marBottom w:val="0"/>
          <w:divBdr>
            <w:top w:val="none" w:sz="0" w:space="0" w:color="auto"/>
            <w:left w:val="none" w:sz="0" w:space="0" w:color="auto"/>
            <w:bottom w:val="none" w:sz="0" w:space="0" w:color="auto"/>
            <w:right w:val="none" w:sz="0" w:space="0" w:color="auto"/>
          </w:divBdr>
          <w:divsChild>
            <w:div w:id="882326160">
              <w:marLeft w:val="0"/>
              <w:marRight w:val="0"/>
              <w:marTop w:val="0"/>
              <w:marBottom w:val="0"/>
              <w:divBdr>
                <w:top w:val="none" w:sz="0" w:space="0" w:color="auto"/>
                <w:left w:val="none" w:sz="0" w:space="0" w:color="auto"/>
                <w:bottom w:val="none" w:sz="0" w:space="0" w:color="auto"/>
                <w:right w:val="none" w:sz="0" w:space="0" w:color="auto"/>
              </w:divBdr>
              <w:divsChild>
                <w:div w:id="882326187">
                  <w:marLeft w:val="0"/>
                  <w:marRight w:val="0"/>
                  <w:marTop w:val="0"/>
                  <w:marBottom w:val="0"/>
                  <w:divBdr>
                    <w:top w:val="none" w:sz="0" w:space="0" w:color="auto"/>
                    <w:left w:val="none" w:sz="0" w:space="0" w:color="auto"/>
                    <w:bottom w:val="none" w:sz="0" w:space="0" w:color="auto"/>
                    <w:right w:val="none" w:sz="0" w:space="0" w:color="auto"/>
                  </w:divBdr>
                </w:div>
              </w:divsChild>
            </w:div>
            <w:div w:id="8823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6207">
      <w:marLeft w:val="0"/>
      <w:marRight w:val="0"/>
      <w:marTop w:val="0"/>
      <w:marBottom w:val="0"/>
      <w:divBdr>
        <w:top w:val="none" w:sz="0" w:space="0" w:color="auto"/>
        <w:left w:val="none" w:sz="0" w:space="0" w:color="auto"/>
        <w:bottom w:val="none" w:sz="0" w:space="0" w:color="auto"/>
        <w:right w:val="none" w:sz="0" w:space="0" w:color="auto"/>
      </w:divBdr>
      <w:divsChild>
        <w:div w:id="882326173">
          <w:marLeft w:val="0"/>
          <w:marRight w:val="0"/>
          <w:marTop w:val="0"/>
          <w:marBottom w:val="0"/>
          <w:divBdr>
            <w:top w:val="none" w:sz="0" w:space="0" w:color="auto"/>
            <w:left w:val="none" w:sz="0" w:space="0" w:color="auto"/>
            <w:bottom w:val="none" w:sz="0" w:space="0" w:color="auto"/>
            <w:right w:val="none" w:sz="0" w:space="0" w:color="auto"/>
          </w:divBdr>
          <w:divsChild>
            <w:div w:id="882326166">
              <w:marLeft w:val="0"/>
              <w:marRight w:val="0"/>
              <w:marTop w:val="0"/>
              <w:marBottom w:val="0"/>
              <w:divBdr>
                <w:top w:val="none" w:sz="0" w:space="0" w:color="auto"/>
                <w:left w:val="none" w:sz="0" w:space="0" w:color="auto"/>
                <w:bottom w:val="none" w:sz="0" w:space="0" w:color="auto"/>
                <w:right w:val="none" w:sz="0" w:space="0" w:color="auto"/>
              </w:divBdr>
              <w:divsChild>
                <w:div w:id="882326205">
                  <w:marLeft w:val="0"/>
                  <w:marRight w:val="0"/>
                  <w:marTop w:val="0"/>
                  <w:marBottom w:val="0"/>
                  <w:divBdr>
                    <w:top w:val="none" w:sz="0" w:space="0" w:color="auto"/>
                    <w:left w:val="none" w:sz="0" w:space="0" w:color="auto"/>
                    <w:bottom w:val="none" w:sz="0" w:space="0" w:color="auto"/>
                    <w:right w:val="none" w:sz="0" w:space="0" w:color="auto"/>
                  </w:divBdr>
                </w:div>
              </w:divsChild>
            </w:div>
            <w:div w:id="8823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6208">
      <w:marLeft w:val="0"/>
      <w:marRight w:val="0"/>
      <w:marTop w:val="0"/>
      <w:marBottom w:val="0"/>
      <w:divBdr>
        <w:top w:val="none" w:sz="0" w:space="0" w:color="auto"/>
        <w:left w:val="none" w:sz="0" w:space="0" w:color="auto"/>
        <w:bottom w:val="none" w:sz="0" w:space="0" w:color="auto"/>
        <w:right w:val="none" w:sz="0" w:space="0" w:color="auto"/>
      </w:divBdr>
      <w:divsChild>
        <w:div w:id="882326169">
          <w:marLeft w:val="0"/>
          <w:marRight w:val="0"/>
          <w:marTop w:val="0"/>
          <w:marBottom w:val="0"/>
          <w:divBdr>
            <w:top w:val="none" w:sz="0" w:space="0" w:color="auto"/>
            <w:left w:val="none" w:sz="0" w:space="0" w:color="auto"/>
            <w:bottom w:val="none" w:sz="0" w:space="0" w:color="auto"/>
            <w:right w:val="none" w:sz="0" w:space="0" w:color="auto"/>
          </w:divBdr>
          <w:divsChild>
            <w:div w:id="882326158">
              <w:marLeft w:val="0"/>
              <w:marRight w:val="0"/>
              <w:marTop w:val="0"/>
              <w:marBottom w:val="0"/>
              <w:divBdr>
                <w:top w:val="none" w:sz="0" w:space="0" w:color="auto"/>
                <w:left w:val="none" w:sz="0" w:space="0" w:color="auto"/>
                <w:bottom w:val="none" w:sz="0" w:space="0" w:color="auto"/>
                <w:right w:val="none" w:sz="0" w:space="0" w:color="auto"/>
              </w:divBdr>
              <w:divsChild>
                <w:div w:id="882326201">
                  <w:marLeft w:val="0"/>
                  <w:marRight w:val="0"/>
                  <w:marTop w:val="0"/>
                  <w:marBottom w:val="0"/>
                  <w:divBdr>
                    <w:top w:val="none" w:sz="0" w:space="0" w:color="auto"/>
                    <w:left w:val="none" w:sz="0" w:space="0" w:color="auto"/>
                    <w:bottom w:val="none" w:sz="0" w:space="0" w:color="auto"/>
                    <w:right w:val="none" w:sz="0" w:space="0" w:color="auto"/>
                  </w:divBdr>
                </w:div>
              </w:divsChild>
            </w:div>
            <w:div w:id="882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6211">
      <w:marLeft w:val="0"/>
      <w:marRight w:val="0"/>
      <w:marTop w:val="0"/>
      <w:marBottom w:val="0"/>
      <w:divBdr>
        <w:top w:val="none" w:sz="0" w:space="0" w:color="auto"/>
        <w:left w:val="none" w:sz="0" w:space="0" w:color="auto"/>
        <w:bottom w:val="none" w:sz="0" w:space="0" w:color="auto"/>
        <w:right w:val="none" w:sz="0" w:space="0" w:color="auto"/>
      </w:divBdr>
      <w:divsChild>
        <w:div w:id="88232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jportal/portal/t/cj9/page/jurisw.psml?pid=Dokumentanzeige&amp;showdoccase=1&amp;js_peid=Trefferliste&amp;documentnumber=26&amp;numberofresults=1408&amp;fromdoctodoc=yes&amp;doc.id=BJNR104700001BJNE008402308&amp;doc.part=S&amp;doc.price=0.0" TargetMode="External"/><Relationship Id="rId13" Type="http://schemas.openxmlformats.org/officeDocument/2006/relationships/hyperlink" Target="https://www.juris.de/jportal/portal/t/clf/" TargetMode="External"/><Relationship Id="rId18" Type="http://schemas.openxmlformats.org/officeDocument/2006/relationships/hyperlink" Target="https://www.juris.de/jportal/portal/t/clf/page/jurisw.psml?pid=Dokumentanzeige&amp;showdoccase=1&amp;js_peid=Trefferliste&amp;documentnumber=21&amp;numberofresults=463&amp;fromdoctodoc=yes&amp;doc.id=KORE316082014&amp;doc.part=K&amp;doc.price=0.0" TargetMode="External"/><Relationship Id="rId26" Type="http://schemas.openxmlformats.org/officeDocument/2006/relationships/hyperlink" Target="https://www.juris.de/jportal/portal/t/clt/page/jurisw.psml?pid=Dokumentanzeige&amp;showdoccase=1&amp;js_peid=Trefferliste&amp;documentnumber=1&amp;numberofresults=1300&amp;fromdoctodoc=yes&amp;doc.id=BJNR001950896BJNE024702377&amp;doc.part=S&amp;doc.price=0.0" TargetMode="External"/><Relationship Id="rId3" Type="http://schemas.openxmlformats.org/officeDocument/2006/relationships/webSettings" Target="webSettings.xml"/><Relationship Id="rId21" Type="http://schemas.openxmlformats.org/officeDocument/2006/relationships/hyperlink" Target="https://www.juris.de/jportal/portal/t/clf/page/jurisw.psml?pid=Dokumentanzeige&amp;showdoccase=1&amp;js_peid=Trefferliste&amp;documentnumber=21&amp;numberofresults=463&amp;fromdoctodoc=yes&amp;doc.id=KORE303672014&amp;doc.part=L&amp;doc.price=0.0" TargetMode="External"/><Relationship Id="rId34" Type="http://schemas.openxmlformats.org/officeDocument/2006/relationships/fontTable" Target="fontTable.xml"/><Relationship Id="rId7" Type="http://schemas.openxmlformats.org/officeDocument/2006/relationships/hyperlink" Target="https://www.juris.de/jportal/portal/t/cj9/page/jurisw.psml?pid=Dokumentanzeige&amp;showdoccase=1&amp;js_peid=Trefferliste&amp;documentnumber=26&amp;numberofresults=1408&amp;fromdoctodoc=yes&amp;doc.id=BJNR104700001BJNE008500000&amp;doc.part=S&amp;doc.price=0.0" TargetMode="External"/><Relationship Id="rId12" Type="http://schemas.openxmlformats.org/officeDocument/2006/relationships/hyperlink" Target="https://www.juris.de/jportal/portal/t/clf/page/jurisw.psml?pid=Dokumentanzeige&amp;showdoccase=1&amp;js_peid=Trefferliste&amp;documentnumber=21&amp;numberofresults=463&amp;fromdoctodoc=yes&amp;doc.id=KORE316812014&amp;doc.part=L&amp;doc.price=0.0" TargetMode="External"/><Relationship Id="rId17" Type="http://schemas.openxmlformats.org/officeDocument/2006/relationships/hyperlink" Target="https://www.juris.de/jportal/portal/t/clf/page/jurisw.psml?pid=Dokumentanzeige&amp;showdoccase=1&amp;js_peid=Trefferliste&amp;documentnumber=21&amp;numberofresults=463&amp;fromdoctodoc=yes&amp;doc.id=BJNR001950896BJNE259501377&amp;doc.part=S&amp;doc.price=0.0" TargetMode="External"/><Relationship Id="rId25" Type="http://schemas.openxmlformats.org/officeDocument/2006/relationships/hyperlink" Target="https://www.juris.de/jportal/portal/t/clj/page/jurisw.psml?pid=Dokumentanzeige&amp;showdoccase=1&amp;js_peid=Trefferliste&amp;documentnumber=24&amp;numberofresults=463&amp;fromdoctodoc=yes&amp;doc.id=KORE320832003&amp;doc.part=K&amp;doc.price=0.0"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juris.de/jportal/portal/t/clf/page/jurisw.psml?pid=Dokumentanzeige&amp;showdoccase=1&amp;js_peid=Trefferliste&amp;documentnumber=21&amp;numberofresults=463&amp;fromdoctodoc=yes&amp;doc.id=KORE219042016&amp;doc.part=L&amp;doc.price=0.0" TargetMode="External"/><Relationship Id="rId20" Type="http://schemas.openxmlformats.org/officeDocument/2006/relationships/hyperlink" Target="https://www.juris.de/jportal/portal/t/clf/page/jurisw.psml?pid=Dokumentanzeige&amp;showdoccase=1&amp;js_peid=Trefferliste&amp;documentnumber=21&amp;numberofresults=463&amp;fromdoctodoc=yes&amp;doc.id=KORE303672014&amp;doc.part=K&amp;doc.price=0.0" TargetMode="External"/><Relationship Id="rId29" Type="http://schemas.openxmlformats.org/officeDocument/2006/relationships/hyperlink" Target="https://www.juris.de/jportal/portal/t/csv/page/jurisw.psml?pid=Dokumentanzeige&amp;showdoccase=1&amp;js_peid=Trefferliste&amp;documentnumber=1&amp;numberofresults=1408&amp;fromdoctodoc=yes&amp;doc.id=BJNR005330950BJNE104604160&amp;doc.part=S&amp;doc.price=0.0" TargetMode="External"/><Relationship Id="rId1" Type="http://schemas.openxmlformats.org/officeDocument/2006/relationships/styles" Target="styles.xml"/><Relationship Id="rId6" Type="http://schemas.openxmlformats.org/officeDocument/2006/relationships/hyperlink" Target="https://www.juris.de/jportal/portal/t/cj9/page/jurisw.psml?pid=Dokumentanzeige&amp;showdoccase=1&amp;js_peid=Trefferliste&amp;documentnumber=26&amp;numberofresults=1408&amp;fromdoctodoc=yes&amp;doc.id=BJNR104700001BJNE008402308&amp;doc.part=S&amp;doc.price=0.0" TargetMode="External"/><Relationship Id="rId11" Type="http://schemas.openxmlformats.org/officeDocument/2006/relationships/hyperlink" Target="https://www.juris.de/jportal/portal/t/clf/page/jurisw.psml?pid=Dokumentanzeige&amp;showdoccase=1&amp;js_peid=Trefferliste&amp;documentnumber=21&amp;numberofresults=463&amp;fromdoctodoc=yes&amp;doc.id=KORE316812014&amp;doc.part=K&amp;doc.price=0.0" TargetMode="External"/><Relationship Id="rId24" Type="http://schemas.openxmlformats.org/officeDocument/2006/relationships/hyperlink" Target="https://www.juris.de/jportal/portal/t/clj/page/jurisw.psml?pid=Dokumentanzeige&amp;showdoccase=1&amp;js_peid=Trefferliste&amp;documentnumber=24&amp;numberofresults=463&amp;fromdoctodoc=yes&amp;doc.id=KORE320832003&amp;doc.part=K&amp;doc.price=0.0" TargetMode="External"/><Relationship Id="rId32" Type="http://schemas.openxmlformats.org/officeDocument/2006/relationships/hyperlink" Target="http://www.drgaupp.de" TargetMode="External"/><Relationship Id="rId5" Type="http://schemas.openxmlformats.org/officeDocument/2006/relationships/endnotes" Target="endnotes.xml"/><Relationship Id="rId15" Type="http://schemas.openxmlformats.org/officeDocument/2006/relationships/hyperlink" Target="https://www.juris.de/jportal/portal/t/clf/page/jurisw.psml?pid=Dokumentanzeige&amp;showdoccase=1&amp;js_peid=Trefferliste&amp;documentnumber=21&amp;numberofresults=463&amp;fromdoctodoc=yes&amp;doc.id=KORE219042016&amp;doc.part=K&amp;doc.price=0.0" TargetMode="External"/><Relationship Id="rId23" Type="http://schemas.openxmlformats.org/officeDocument/2006/relationships/hyperlink" Target="https://www.juris.de/jportal/portal/t/clj/page/jurisw.psml?pid=Dokumentanzeige&amp;showdoccase=1&amp;js_peid=Trefferliste&amp;documentnumber=24&amp;numberofresults=463&amp;fromdoctodoc=yes&amp;doc.id=BJNR001950896BJNE260101377&amp;doc.part=S&amp;doc.price=0.0" TargetMode="External"/><Relationship Id="rId28" Type="http://schemas.openxmlformats.org/officeDocument/2006/relationships/hyperlink" Target="https://www.juris.de/jportal/portal/t/cnk/page/jurisw.psml?pid=Dokumentanzeige&amp;showdoccase=1&amp;js_peid=Trefferliste&amp;documentnumber=20&amp;numberofresults=830&amp;fromdoctodoc=yes&amp;doc.id=BJNR001950896BJNE064002377&amp;doc.part=S&amp;doc.price=0.0" TargetMode="External"/><Relationship Id="rId10" Type="http://schemas.openxmlformats.org/officeDocument/2006/relationships/hyperlink" Target="https://www.juris.de/jportal/portal/t/cko/page/jurisw.psml?pid=Dokumentanzeige&amp;showdoccase=1&amp;js_peid=Trefferliste&amp;documentnumber=14&amp;numberofresults=463&amp;fromdoctodoc=yes&amp;doc.id=BJNR001950896BJNE260101377&amp;doc.part=S&amp;doc.price=0.0" TargetMode="External"/><Relationship Id="rId19" Type="http://schemas.openxmlformats.org/officeDocument/2006/relationships/hyperlink" Target="https://www.juris.de/jportal/portal/t/clf/page/jurisw.psml?pid=Dokumentanzeige&amp;showdoccase=1&amp;js_peid=Trefferliste&amp;documentnumber=21&amp;numberofresults=463&amp;fromdoctodoc=yes&amp;doc.id=KORE316082014&amp;doc.part=L&amp;doc.price=0.0" TargetMode="External"/><Relationship Id="rId31" Type="http://schemas.openxmlformats.org/officeDocument/2006/relationships/hyperlink" Target="https://www.juris.de/jportal/portal/t/cv1/page/jurisw.psml?pid=Dokumentanzeige&amp;showdoccase=1&amp;js_peid=Trefferliste&amp;documentnumber=90&amp;numberofresults=1408&amp;fromdoctodoc=yes&amp;doc.id=BJNR005330950BJNE017802301&amp;doc.part=S&amp;doc.price=0.0" TargetMode="External"/><Relationship Id="rId4" Type="http://schemas.openxmlformats.org/officeDocument/2006/relationships/footnotes" Target="footnotes.xml"/><Relationship Id="rId9" Type="http://schemas.openxmlformats.org/officeDocument/2006/relationships/hyperlink" Target="https://www.juris.de/jportal/portal/t/ck0/page/jurisw.psml?pid=Dokumentanzeige&amp;showdoccase=1&amp;js_peid=Trefferliste&amp;documentnumber=1&amp;numberofresults=463&amp;fromdoctodoc=yes&amp;doc.id=BJNR001950896BJNE260101377&amp;doc.part=S&amp;doc.price=0.0" TargetMode="External"/><Relationship Id="rId14" Type="http://schemas.openxmlformats.org/officeDocument/2006/relationships/hyperlink" Target="https://www.juris.de/jportal/portal/t/clf/" TargetMode="External"/><Relationship Id="rId22" Type="http://schemas.openxmlformats.org/officeDocument/2006/relationships/hyperlink" Target="https://www.juris.de/jportal/portal/t/clf/page/jurisw.psml?pid=Dokumentanzeige&amp;showdoccase=1&amp;js_peid=Trefferliste&amp;documentnumber=21&amp;numberofresults=463&amp;fromdoctodoc=yes&amp;doc.id=BJNR001950896BJNE013002377&amp;doc.part=S&amp;doc.price=0.0" TargetMode="External"/><Relationship Id="rId27" Type="http://schemas.openxmlformats.org/officeDocument/2006/relationships/hyperlink" Target="https://www.juris.de/jportal/portal/t/clt/page/jurisw.psml?pid=Dokumentanzeige&amp;showdoccase=1&amp;js_peid=Trefferliste&amp;documentnumber=1&amp;numberofresults=1300&amp;fromdoctodoc=yes&amp;doc.id=BJNR001950896BJNE027102377&amp;doc.part=S&amp;doc.price=0.0" TargetMode="External"/><Relationship Id="rId30" Type="http://schemas.openxmlformats.org/officeDocument/2006/relationships/hyperlink" Target="https://www.juris.de/jportal/portal/t/csv/page/jurisw.psml?pid=Dokumentanzeige&amp;showdoccase=1&amp;js_peid=Trefferliste&amp;documentnumber=1&amp;numberofresults=1408&amp;fromdoctodoc=yes&amp;doc.id=BJNR005330950BJNE048902301&amp;doc.part=S&amp;doc.price=0.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B92447D3.dotm</Template>
  <TotalTime>0</TotalTime>
  <Pages>3</Pages>
  <Words>2483</Words>
  <Characters>15646</Characters>
  <Application>Microsoft Office Word</Application>
  <DocSecurity>0</DocSecurity>
  <Lines>130</Lines>
  <Paragraphs>36</Paragraphs>
  <ScaleCrop>false</ScaleCrop>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2017-05-31T08:02:00Z</dcterms:created>
  <dcterms:modified xsi:type="dcterms:W3CDTF">2017-05-31T08:02:00Z</dcterms:modified>
</cp:coreProperties>
</file>