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2DE" w:rsidRPr="00385BF2" w:rsidRDefault="00E762DE" w:rsidP="00E762DE">
      <w:pPr>
        <w:tabs>
          <w:tab w:val="center" w:pos="4536"/>
          <w:tab w:val="right" w:pos="9072"/>
        </w:tabs>
        <w:jc w:val="right"/>
        <w:rPr>
          <w:rFonts w:ascii="Calibri" w:hAnsi="Calibri" w:cs="Calibri"/>
          <w:sz w:val="24"/>
          <w:szCs w:val="24"/>
          <w:lang w:val="en-US"/>
        </w:rPr>
      </w:pPr>
      <w:bookmarkStart w:id="0" w:name="_GoBack"/>
      <w:bookmarkEnd w:id="0"/>
      <w:r w:rsidRPr="00385BF2">
        <w:rPr>
          <w:rFonts w:cs="Arial"/>
          <w:b/>
          <w:bCs/>
          <w:sz w:val="40"/>
          <w:szCs w:val="40"/>
          <w:lang w:val="en-US"/>
        </w:rPr>
        <w:t>DASV</w:t>
      </w:r>
    </w:p>
    <w:p w:rsidR="00E762DE" w:rsidRPr="00385BF2" w:rsidRDefault="00E762DE" w:rsidP="00E762DE">
      <w:pPr>
        <w:jc w:val="right"/>
        <w:rPr>
          <w:rFonts w:cs="Arial"/>
          <w:sz w:val="20"/>
          <w:lang w:val="en-US"/>
        </w:rPr>
      </w:pPr>
      <w:bookmarkStart w:id="1" w:name="2"/>
      <w:bookmarkStart w:id="2" w:name="9"/>
      <w:bookmarkEnd w:id="1"/>
      <w:bookmarkEnd w:id="2"/>
      <w:r w:rsidRPr="00385BF2">
        <w:rPr>
          <w:rFonts w:cs="Arial"/>
          <w:sz w:val="20"/>
          <w:lang w:val="en-US"/>
        </w:rPr>
        <w:t>Deutsche Anwalts- und</w:t>
      </w:r>
    </w:p>
    <w:p w:rsidR="00E762DE" w:rsidRPr="00385BF2" w:rsidRDefault="00E762DE" w:rsidP="00E762DE">
      <w:pPr>
        <w:jc w:val="right"/>
        <w:rPr>
          <w:rFonts w:cs="Arial"/>
          <w:sz w:val="20"/>
          <w:lang w:val="en-US"/>
        </w:rPr>
      </w:pPr>
      <w:r w:rsidRPr="00385BF2">
        <w:rPr>
          <w:rFonts w:cs="Arial"/>
          <w:sz w:val="20"/>
          <w:lang w:val="en-US"/>
        </w:rPr>
        <w:t>Steuerberatervereinigung</w:t>
      </w:r>
    </w:p>
    <w:p w:rsidR="00E762DE" w:rsidRPr="00385BF2" w:rsidRDefault="00E762DE" w:rsidP="00E762DE">
      <w:pPr>
        <w:jc w:val="right"/>
        <w:rPr>
          <w:rFonts w:cs="Arial"/>
          <w:sz w:val="20"/>
          <w:lang w:val="en-US"/>
        </w:rPr>
      </w:pPr>
      <w:r w:rsidRPr="00385BF2">
        <w:rPr>
          <w:rFonts w:cs="Arial"/>
          <w:sz w:val="20"/>
          <w:lang w:val="en-US"/>
        </w:rPr>
        <w:t>für die mittelständische</w:t>
      </w:r>
    </w:p>
    <w:p w:rsidR="00E762DE" w:rsidRPr="00385BF2" w:rsidRDefault="00E762DE" w:rsidP="00E762DE">
      <w:pPr>
        <w:jc w:val="right"/>
        <w:rPr>
          <w:rFonts w:cs="Arial"/>
          <w:sz w:val="20"/>
          <w:lang w:val="en-US"/>
        </w:rPr>
      </w:pPr>
      <w:r w:rsidRPr="00385BF2">
        <w:rPr>
          <w:rFonts w:cs="Arial"/>
          <w:sz w:val="20"/>
          <w:lang w:val="en-US"/>
        </w:rPr>
        <w:t>Wirtschaft e. V.</w:t>
      </w:r>
    </w:p>
    <w:p w:rsidR="00E762DE" w:rsidRDefault="00E762DE" w:rsidP="0032388F">
      <w:pPr>
        <w:jc w:val="both"/>
        <w:rPr>
          <w:b/>
        </w:rPr>
      </w:pPr>
    </w:p>
    <w:p w:rsidR="00DA1080" w:rsidRPr="002D61F7" w:rsidRDefault="00E93722" w:rsidP="00E762DE">
      <w:pPr>
        <w:spacing w:line="360" w:lineRule="auto"/>
        <w:jc w:val="both"/>
        <w:rPr>
          <w:b/>
        </w:rPr>
      </w:pPr>
      <w:r w:rsidRPr="002D61F7">
        <w:rPr>
          <w:b/>
        </w:rPr>
        <w:t xml:space="preserve">Wettbewerb oder nicht Wettbewerb? </w:t>
      </w:r>
    </w:p>
    <w:p w:rsidR="00E93722" w:rsidRDefault="00E93722" w:rsidP="00E762DE">
      <w:pPr>
        <w:spacing w:line="360" w:lineRule="auto"/>
        <w:jc w:val="both"/>
      </w:pPr>
    </w:p>
    <w:p w:rsidR="00E762DE" w:rsidRPr="00CF6856" w:rsidRDefault="00E762DE" w:rsidP="00E762DE">
      <w:pPr>
        <w:tabs>
          <w:tab w:val="left" w:pos="6060"/>
        </w:tabs>
        <w:spacing w:line="360" w:lineRule="auto"/>
        <w:jc w:val="both"/>
        <w:rPr>
          <w:rFonts w:cs="Arial"/>
        </w:rPr>
      </w:pPr>
      <w:r w:rsidRPr="00CF6856">
        <w:rPr>
          <w:rFonts w:cs="Arial"/>
        </w:rPr>
        <w:t xml:space="preserve">ein Artikel von Rechtsanwalt </w:t>
      </w:r>
      <w:r w:rsidRPr="00CF6856">
        <w:rPr>
          <w:rFonts w:cs="Arial"/>
          <w:lang w:val="ru-RU"/>
        </w:rPr>
        <w:t>Stefan Engelhardt</w:t>
      </w:r>
      <w:r w:rsidRPr="00CF6856">
        <w:rPr>
          <w:rFonts w:cs="Arial"/>
        </w:rPr>
        <w:t>, Hamburg</w:t>
      </w:r>
    </w:p>
    <w:p w:rsidR="00E762DE" w:rsidRDefault="00E762DE" w:rsidP="00E762DE">
      <w:pPr>
        <w:spacing w:line="360" w:lineRule="auto"/>
        <w:jc w:val="both"/>
      </w:pPr>
    </w:p>
    <w:p w:rsidR="00E93722" w:rsidRPr="00E762DE" w:rsidRDefault="00E93722" w:rsidP="00E762DE">
      <w:pPr>
        <w:spacing w:line="360" w:lineRule="auto"/>
        <w:jc w:val="both"/>
        <w:rPr>
          <w:b/>
        </w:rPr>
      </w:pPr>
      <w:r w:rsidRPr="00E762DE">
        <w:rPr>
          <w:b/>
        </w:rPr>
        <w:t xml:space="preserve">Befindet sich jemand in einem Arbeitsverhältnis und möchte eine Nebentätigkeit ausüben, so stellt sich häufig die Frage, ob Wettbewerb zum Hauptarbeitgeber gemacht wird. </w:t>
      </w:r>
    </w:p>
    <w:p w:rsidR="00E93722" w:rsidRDefault="00E93722" w:rsidP="00E762DE">
      <w:pPr>
        <w:spacing w:line="360" w:lineRule="auto"/>
        <w:jc w:val="both"/>
      </w:pPr>
    </w:p>
    <w:p w:rsidR="00E93722" w:rsidRDefault="00E93722" w:rsidP="00E762DE">
      <w:pPr>
        <w:spacing w:line="360" w:lineRule="auto"/>
        <w:jc w:val="both"/>
      </w:pPr>
      <w:r>
        <w:t xml:space="preserve">Mit </w:t>
      </w:r>
      <w:r w:rsidR="00052718">
        <w:t>diesem</w:t>
      </w:r>
      <w:r>
        <w:t xml:space="preserve"> Thema hatte sich das Landesarbeitsgericht Mecklenburg-Vorpommern in seiner Entscheidung vom 19.04.2017, 3 SaGa 7/16 zu befassen. </w:t>
      </w:r>
    </w:p>
    <w:p w:rsidR="00E93722" w:rsidRDefault="00E93722" w:rsidP="00E762DE">
      <w:pPr>
        <w:spacing w:line="360" w:lineRule="auto"/>
        <w:jc w:val="both"/>
      </w:pPr>
    </w:p>
    <w:p w:rsidR="00E93722" w:rsidRDefault="00E93722" w:rsidP="00E762DE">
      <w:pPr>
        <w:spacing w:line="360" w:lineRule="auto"/>
        <w:jc w:val="both"/>
      </w:pPr>
      <w:r>
        <w:t xml:space="preserve">Der Kläger ist Träger einer Privatschule, zudem er betreibt er einige Berufsschulen. </w:t>
      </w:r>
    </w:p>
    <w:p w:rsidR="00E93722" w:rsidRDefault="00E93722" w:rsidP="00E762DE">
      <w:pPr>
        <w:spacing w:line="360" w:lineRule="auto"/>
        <w:jc w:val="both"/>
      </w:pPr>
    </w:p>
    <w:p w:rsidR="00E93722" w:rsidRDefault="00E93722" w:rsidP="00E762DE">
      <w:pPr>
        <w:spacing w:line="360" w:lineRule="auto"/>
        <w:jc w:val="both"/>
      </w:pPr>
      <w:r>
        <w:t xml:space="preserve">Die Beklagte war als Lehrerin an einem Gymnasium des Klägers seit August 2014 angestellt, im Arbeitsvertrag fand sich ein vertragliches Wettbewerbsverbot, nach dem die Aufnahme einer Nebentätigkeit an die Zustimmung des Klägers gekoppelt war mit dem Hinweis, dass eine solche nur erteilt wird, wenn die Wahrnehmung der dienstlichen Aufgaben zeitlich nicht beeinträchtigt wird und auch sonstige berechtigte Interessen nicht verletzt werden. </w:t>
      </w:r>
    </w:p>
    <w:p w:rsidR="00E93722" w:rsidRDefault="00E93722" w:rsidP="00E762DE">
      <w:pPr>
        <w:spacing w:line="360" w:lineRule="auto"/>
        <w:jc w:val="both"/>
      </w:pPr>
    </w:p>
    <w:p w:rsidR="00E93722" w:rsidRDefault="00E93722" w:rsidP="00E762DE">
      <w:pPr>
        <w:spacing w:line="360" w:lineRule="auto"/>
        <w:jc w:val="both"/>
      </w:pPr>
      <w:r>
        <w:t>Die Beklagte hat das Arbeitsverhältnis mit Schreiben vom 24.10.2016 zum 30.11.2016 gekündigt, was nicht der</w:t>
      </w:r>
      <w:r w:rsidR="00052718">
        <w:t xml:space="preserve"> vereinbarten Frist entsprach. A</w:t>
      </w:r>
      <w:r>
        <w:t xml:space="preserve">b dem 01.12.2016 nahm sie eine neue Lehrtätigkeit an einer Berufsschule des Landes Mecklenburg-Vorpommern auf. </w:t>
      </w:r>
    </w:p>
    <w:p w:rsidR="00E93722" w:rsidRDefault="00E93722" w:rsidP="00E762DE">
      <w:pPr>
        <w:spacing w:line="360" w:lineRule="auto"/>
        <w:jc w:val="both"/>
      </w:pPr>
    </w:p>
    <w:p w:rsidR="00E93722" w:rsidRDefault="00E93722" w:rsidP="00E762DE">
      <w:pPr>
        <w:spacing w:line="360" w:lineRule="auto"/>
        <w:jc w:val="both"/>
      </w:pPr>
      <w:r>
        <w:t>Am 17.11.2016 beantragte der Kläger den Erlass einer einstweiligen Verfügung, mit der der Verfügungsbeklagten die Tätigkeit für das Land Mecklenburg-Vorpommern untersagt w</w:t>
      </w:r>
      <w:r w:rsidR="00052718">
        <w:t>erden sollte</w:t>
      </w:r>
      <w:r>
        <w:t xml:space="preserve"> und zwar längstens bis zum 31.01.2017. </w:t>
      </w:r>
    </w:p>
    <w:p w:rsidR="00E93722" w:rsidRDefault="00E93722" w:rsidP="00E762DE">
      <w:pPr>
        <w:spacing w:line="360" w:lineRule="auto"/>
        <w:jc w:val="both"/>
      </w:pPr>
    </w:p>
    <w:p w:rsidR="00E93722" w:rsidRDefault="00E93722" w:rsidP="00E762DE">
      <w:pPr>
        <w:spacing w:line="360" w:lineRule="auto"/>
        <w:jc w:val="both"/>
      </w:pPr>
      <w:r>
        <w:t>Das Arbeitsgericht hat den Antrag zurückgewiesen, wor</w:t>
      </w:r>
      <w:r w:rsidR="00052718">
        <w:t>aufhin Berufung eingelegt wurde.</w:t>
      </w:r>
      <w:r>
        <w:t xml:space="preserve"> </w:t>
      </w:r>
      <w:r w:rsidR="00052718">
        <w:t>A</w:t>
      </w:r>
      <w:r>
        <w:t xml:space="preserve">uch das LAG wies jedoch den Antrag zurück, nachdem sich durch Zeitablauf der Antrag an sich erledigt hatte. </w:t>
      </w:r>
    </w:p>
    <w:p w:rsidR="00E93722" w:rsidRDefault="00E93722" w:rsidP="00E762DE">
      <w:pPr>
        <w:spacing w:line="360" w:lineRule="auto"/>
        <w:jc w:val="both"/>
      </w:pPr>
    </w:p>
    <w:p w:rsidR="00E93722" w:rsidRDefault="00E93722" w:rsidP="00E762DE">
      <w:pPr>
        <w:spacing w:line="360" w:lineRule="auto"/>
        <w:jc w:val="both"/>
      </w:pPr>
      <w:r>
        <w:t xml:space="preserve">Das LAG hat dazu angemerkt, dass es an einem sogenannten Verfügungsanspruch mangelt, weil keine tatsächliche Konkurrenztätigkeit der Beklagten vorgelegen hat. Die Arbeit der Beklagten als Deutschlehrerin an einer staatlichen Berufsschule stellt keine wettbewerbswidrige </w:t>
      </w:r>
      <w:r>
        <w:lastRenderedPageBreak/>
        <w:t xml:space="preserve">Tätigkeit, die in Konkurrenz zu ihrer Tätigkeit als Lehrkraft an einem Gymnasium bei dem Verfügungsbeklagten steht, dar. </w:t>
      </w:r>
    </w:p>
    <w:p w:rsidR="00E93722" w:rsidRDefault="00E93722" w:rsidP="00E762DE">
      <w:pPr>
        <w:spacing w:line="360" w:lineRule="auto"/>
        <w:jc w:val="both"/>
      </w:pPr>
    </w:p>
    <w:p w:rsidR="00E93722" w:rsidRDefault="00E93722" w:rsidP="00E762DE">
      <w:pPr>
        <w:spacing w:line="360" w:lineRule="auto"/>
        <w:jc w:val="both"/>
      </w:pPr>
      <w:r>
        <w:t xml:space="preserve">Da Vorliegen einer wettbewerbswidrigen Tätigkeit setzt eine Interessenbeeinträchtigung des Arbeitgebers voraus. Ein Wettbewerbsverbot kann aufgrund der in Artikel 12 Grundgesetz geschützten Berufsfreiheit des Arbeitnehmers nur auf unmittelbare Konkurrenztätigkeiten Anwendung finden. Eine solche unmittelbare Konkurrenztätigkeit hat jedoch hier nicht vorgelegen. </w:t>
      </w:r>
    </w:p>
    <w:p w:rsidR="00E93722" w:rsidRDefault="00E93722" w:rsidP="00E762DE">
      <w:pPr>
        <w:spacing w:line="360" w:lineRule="auto"/>
        <w:jc w:val="both"/>
      </w:pPr>
    </w:p>
    <w:p w:rsidR="00E93722" w:rsidRDefault="00E93722" w:rsidP="00E762DE">
      <w:pPr>
        <w:spacing w:line="360" w:lineRule="auto"/>
        <w:jc w:val="both"/>
      </w:pPr>
      <w:r>
        <w:t>Die Tätigkeitsbereiche unterscheiden sich nämlich in ihrer pädagogischen Ausrichtung, da eine Berufsschullehrerin Schüler auf eine konkrete beruf</w:t>
      </w:r>
      <w:r w:rsidR="00052718">
        <w:t>liche Tätigkeit vorbereitet, wo</w:t>
      </w:r>
      <w:r>
        <w:t xml:space="preserve">hingegen eine Gymnasiallehrerin die Schüler auf die allgemeine Hochschulreife vorbereitet. </w:t>
      </w:r>
    </w:p>
    <w:p w:rsidR="00E93722" w:rsidRDefault="00E93722" w:rsidP="00E762DE">
      <w:pPr>
        <w:spacing w:line="360" w:lineRule="auto"/>
        <w:jc w:val="both"/>
      </w:pPr>
    </w:p>
    <w:p w:rsidR="00E93722" w:rsidRDefault="00E93722" w:rsidP="00E762DE">
      <w:pPr>
        <w:spacing w:line="360" w:lineRule="auto"/>
        <w:jc w:val="both"/>
      </w:pPr>
      <w:r>
        <w:t xml:space="preserve">Diese Tätigkeiten sind dermaßen unterschiedlich, dass es an einer Vergleichbarkeit mangelt. </w:t>
      </w:r>
    </w:p>
    <w:p w:rsidR="00897AAC" w:rsidRDefault="00897AAC" w:rsidP="00E762DE">
      <w:pPr>
        <w:spacing w:line="360" w:lineRule="auto"/>
        <w:jc w:val="both"/>
        <w:rPr>
          <w:rFonts w:ascii="Times New Roman" w:hAnsi="Times New Roman"/>
        </w:rPr>
      </w:pPr>
      <w:bookmarkStart w:id="3" w:name="Brief"/>
      <w:bookmarkEnd w:id="3"/>
    </w:p>
    <w:p w:rsidR="00E762DE" w:rsidRDefault="00E762DE" w:rsidP="00E762DE">
      <w:pPr>
        <w:spacing w:line="360" w:lineRule="auto"/>
        <w:jc w:val="both"/>
        <w:rPr>
          <w:rFonts w:ascii="Times New Roman" w:hAnsi="Times New Roman"/>
        </w:rPr>
      </w:pPr>
    </w:p>
    <w:p w:rsidR="00E762DE" w:rsidRPr="00CF6856" w:rsidRDefault="00E762DE" w:rsidP="00E762DE">
      <w:pPr>
        <w:jc w:val="both"/>
        <w:rPr>
          <w:rFonts w:cs="Arial"/>
          <w:sz w:val="20"/>
        </w:rPr>
      </w:pPr>
      <w:r w:rsidRPr="00CF6856">
        <w:rPr>
          <w:rFonts w:cs="Arial"/>
          <w:sz w:val="20"/>
        </w:rPr>
        <w:t>Der Autor ist Landesregionalleiter „Hamburg“ der Deutschen Anwalts- und Steuerberatervereinigung für die mittelständische Wirtschaft e.V.</w:t>
      </w:r>
    </w:p>
    <w:p w:rsidR="00E762DE" w:rsidRPr="00CF6856" w:rsidRDefault="00E762DE" w:rsidP="00E762DE">
      <w:pPr>
        <w:tabs>
          <w:tab w:val="left" w:pos="1245"/>
        </w:tabs>
        <w:jc w:val="both"/>
        <w:rPr>
          <w:rFonts w:cs="Arial"/>
          <w:sz w:val="20"/>
        </w:rPr>
      </w:pPr>
      <w:r>
        <w:rPr>
          <w:rFonts w:cs="Arial"/>
          <w:sz w:val="20"/>
        </w:rPr>
        <w:tab/>
      </w:r>
    </w:p>
    <w:p w:rsidR="00E762DE" w:rsidRPr="00CF6856" w:rsidRDefault="00E762DE" w:rsidP="00E762DE">
      <w:pPr>
        <w:jc w:val="both"/>
        <w:rPr>
          <w:rFonts w:cs="Arial"/>
          <w:sz w:val="20"/>
        </w:rPr>
      </w:pPr>
      <w:r w:rsidRPr="00CF6856">
        <w:rPr>
          <w:rFonts w:cs="Arial"/>
          <w:sz w:val="20"/>
        </w:rPr>
        <w:t>Für Rückfragen steht Ihnen der Autor gerne zur Verfügung</w:t>
      </w:r>
    </w:p>
    <w:p w:rsidR="00E762DE" w:rsidRPr="00CF6856" w:rsidRDefault="00E762DE" w:rsidP="00E762DE">
      <w:pPr>
        <w:jc w:val="both"/>
        <w:rPr>
          <w:rFonts w:cs="Arial"/>
          <w:sz w:val="20"/>
        </w:rPr>
      </w:pPr>
    </w:p>
    <w:p w:rsidR="00E762DE" w:rsidRPr="00CF6856" w:rsidRDefault="00E762DE" w:rsidP="00E762DE">
      <w:pPr>
        <w:jc w:val="both"/>
        <w:rPr>
          <w:rFonts w:cs="Arial"/>
          <w:sz w:val="20"/>
        </w:rPr>
      </w:pPr>
      <w:r w:rsidRPr="00CF6856">
        <w:rPr>
          <w:rFonts w:cs="Arial"/>
          <w:sz w:val="20"/>
        </w:rPr>
        <w:t>Stefan Engelhardt</w:t>
      </w:r>
    </w:p>
    <w:p w:rsidR="00E762DE" w:rsidRPr="00CF6856" w:rsidRDefault="00E762DE" w:rsidP="00E762DE">
      <w:pPr>
        <w:jc w:val="both"/>
        <w:rPr>
          <w:rFonts w:cs="Arial"/>
          <w:sz w:val="20"/>
        </w:rPr>
      </w:pPr>
      <w:r w:rsidRPr="00CF6856">
        <w:rPr>
          <w:rFonts w:cs="Arial"/>
          <w:sz w:val="20"/>
        </w:rPr>
        <w:t>Roggelin &amp; Partner</w:t>
      </w:r>
    </w:p>
    <w:p w:rsidR="00E762DE" w:rsidRPr="00CF6856" w:rsidRDefault="00E762DE" w:rsidP="00E762DE">
      <w:pPr>
        <w:jc w:val="both"/>
        <w:rPr>
          <w:rFonts w:cs="Arial"/>
          <w:sz w:val="20"/>
        </w:rPr>
      </w:pPr>
      <w:r w:rsidRPr="00CF6856">
        <w:rPr>
          <w:rFonts w:cs="Arial"/>
          <w:sz w:val="20"/>
        </w:rPr>
        <w:t>Wirtschaftsprüfer Steuerberater Rechtsanwälte</w:t>
      </w:r>
    </w:p>
    <w:p w:rsidR="00E762DE" w:rsidRPr="00CF6856" w:rsidRDefault="00E762DE" w:rsidP="00E762DE">
      <w:pPr>
        <w:jc w:val="both"/>
        <w:rPr>
          <w:rFonts w:cs="Arial"/>
          <w:sz w:val="20"/>
        </w:rPr>
      </w:pPr>
      <w:r w:rsidRPr="00CF6856">
        <w:rPr>
          <w:rFonts w:cs="Arial"/>
          <w:sz w:val="20"/>
        </w:rPr>
        <w:t>Partnerschaft (AG Hamburg PR 632)</w:t>
      </w:r>
    </w:p>
    <w:p w:rsidR="00E762DE" w:rsidRPr="00CF6856" w:rsidRDefault="00E762DE" w:rsidP="00E762DE">
      <w:pPr>
        <w:jc w:val="both"/>
        <w:rPr>
          <w:rFonts w:cs="Arial"/>
          <w:sz w:val="20"/>
        </w:rPr>
      </w:pPr>
      <w:r w:rsidRPr="00CF6856">
        <w:rPr>
          <w:rFonts w:cs="Arial"/>
          <w:sz w:val="20"/>
        </w:rPr>
        <w:t xml:space="preserve">Alte Rabenstraße 32 </w:t>
      </w:r>
    </w:p>
    <w:p w:rsidR="00E762DE" w:rsidRPr="00CF6856" w:rsidRDefault="00E762DE" w:rsidP="00E762DE">
      <w:pPr>
        <w:jc w:val="both"/>
        <w:rPr>
          <w:rFonts w:cs="Arial"/>
          <w:sz w:val="20"/>
        </w:rPr>
      </w:pPr>
      <w:r w:rsidRPr="00CF6856">
        <w:rPr>
          <w:rFonts w:cs="Arial"/>
          <w:sz w:val="20"/>
        </w:rPr>
        <w:t xml:space="preserve">20148 Hamburg </w:t>
      </w:r>
    </w:p>
    <w:p w:rsidR="00E762DE" w:rsidRPr="00CF6856" w:rsidRDefault="00E762DE" w:rsidP="00E762DE">
      <w:pPr>
        <w:jc w:val="both"/>
        <w:rPr>
          <w:rFonts w:cs="Arial"/>
          <w:sz w:val="20"/>
        </w:rPr>
      </w:pPr>
      <w:r w:rsidRPr="00CF6856">
        <w:rPr>
          <w:rFonts w:cs="Arial"/>
          <w:sz w:val="20"/>
        </w:rPr>
        <w:t xml:space="preserve">Telefon: +49 (0)40.76 99 99-31 </w:t>
      </w:r>
      <w:r w:rsidRPr="00CF6856">
        <w:rPr>
          <w:rFonts w:cs="Arial"/>
          <w:sz w:val="20"/>
        </w:rPr>
        <w:tab/>
      </w:r>
      <w:r w:rsidRPr="00CF6856">
        <w:rPr>
          <w:rFonts w:cs="Arial"/>
          <w:sz w:val="20"/>
        </w:rPr>
        <w:tab/>
        <w:t>Telefax: +49 (0)40.76 99 99-36</w:t>
      </w:r>
    </w:p>
    <w:p w:rsidR="00E762DE" w:rsidRPr="00CF6856" w:rsidRDefault="00E762DE" w:rsidP="00E762DE">
      <w:pPr>
        <w:jc w:val="both"/>
        <w:rPr>
          <w:rFonts w:cs="Arial"/>
          <w:sz w:val="20"/>
        </w:rPr>
      </w:pPr>
      <w:r w:rsidRPr="00CF6856">
        <w:rPr>
          <w:rFonts w:cs="Arial"/>
          <w:sz w:val="20"/>
        </w:rPr>
        <w:t xml:space="preserve">stefan.engelhardt@roggelin.de </w:t>
      </w:r>
      <w:r w:rsidRPr="00CF6856">
        <w:rPr>
          <w:rFonts w:cs="Arial"/>
          <w:sz w:val="20"/>
        </w:rPr>
        <w:tab/>
      </w:r>
      <w:r w:rsidRPr="00CF6856">
        <w:rPr>
          <w:rFonts w:cs="Arial"/>
          <w:sz w:val="20"/>
        </w:rPr>
        <w:tab/>
        <w:t xml:space="preserve">www.roggelin.de </w:t>
      </w:r>
    </w:p>
    <w:p w:rsidR="00E762DE" w:rsidRDefault="00E762DE" w:rsidP="00E762DE">
      <w:pPr>
        <w:jc w:val="both"/>
        <w:rPr>
          <w:rFonts w:cs="Arial"/>
          <w:sz w:val="20"/>
        </w:rPr>
      </w:pPr>
    </w:p>
    <w:p w:rsidR="00E762DE" w:rsidRDefault="00E762DE" w:rsidP="00E762DE">
      <w:pPr>
        <w:spacing w:line="360" w:lineRule="auto"/>
        <w:jc w:val="both"/>
        <w:rPr>
          <w:szCs w:val="22"/>
        </w:rPr>
      </w:pPr>
    </w:p>
    <w:sectPr w:rsidR="00E762DE" w:rsidSect="002D61F7">
      <w:headerReference w:type="default" r:id="rId7"/>
      <w:footerReference w:type="default" r:id="rId8"/>
      <w:headerReference w:type="first" r:id="rId9"/>
      <w:type w:val="continuous"/>
      <w:pgSz w:w="11907" w:h="16840" w:code="9"/>
      <w:pgMar w:top="1134" w:right="1418" w:bottom="1134" w:left="1418" w:header="720" w:footer="720" w:gutter="0"/>
      <w:paperSrc w:first="2" w:other="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8DA" w:rsidRDefault="00B768DA">
      <w:r>
        <w:separator/>
      </w:r>
    </w:p>
  </w:endnote>
  <w:endnote w:type="continuationSeparator" w:id="0">
    <w:p w:rsidR="00B768DA" w:rsidRDefault="00B7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Univers 57 Condensed"/>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722" w:rsidRDefault="00E93722">
    <w:pPr>
      <w:pStyle w:val="Fuzeile"/>
      <w:jc w:val="right"/>
    </w:pPr>
  </w:p>
  <w:p w:rsidR="00E93722" w:rsidRDefault="00E93722">
    <w:pPr>
      <w:pStyle w:val="Fuzeile"/>
      <w:jc w:val="right"/>
    </w:pPr>
    <w:r>
      <w:fldChar w:fldCharType="begin"/>
    </w:r>
    <w:r>
      <w:instrText xml:space="preserve">IF </w:instrText>
    </w:r>
    <w:r w:rsidR="00B7753A">
      <w:fldChar w:fldCharType="begin"/>
    </w:r>
    <w:r w:rsidR="00B7753A">
      <w:instrText>NUMPAGES</w:instrText>
    </w:r>
    <w:r w:rsidR="00B7753A">
      <w:fldChar w:fldCharType="separate"/>
    </w:r>
    <w:r w:rsidR="00747F17">
      <w:rPr>
        <w:noProof/>
      </w:rPr>
      <w:instrText>2</w:instrText>
    </w:r>
    <w:r w:rsidR="00B7753A">
      <w:fldChar w:fldCharType="end"/>
    </w:r>
    <w:r>
      <w:instrText>&lt;&gt;</w:instrText>
    </w:r>
    <w:r w:rsidR="00B7753A">
      <w:fldChar w:fldCharType="begin"/>
    </w:r>
    <w:r w:rsidR="00B7753A">
      <w:instrText>PAGE</w:instrText>
    </w:r>
    <w:r w:rsidR="00B7753A">
      <w:fldChar w:fldCharType="separate"/>
    </w:r>
    <w:r w:rsidR="00747F17">
      <w:rPr>
        <w:noProof/>
      </w:rPr>
      <w:instrText>2</w:instrText>
    </w:r>
    <w:r w:rsidR="00B7753A">
      <w:fldChar w:fldCharType="end"/>
    </w:r>
    <w:r>
      <w:instrText xml:space="preserve">"/ </w:instrText>
    </w:r>
    <w:r>
      <w:fldChar w:fldCharType="begin"/>
    </w:r>
    <w:r>
      <w:instrText>=</w:instrText>
    </w:r>
    <w:r w:rsidR="00B7753A">
      <w:fldChar w:fldCharType="begin"/>
    </w:r>
    <w:r w:rsidR="00B7753A">
      <w:instrText>PAGE</w:instrText>
    </w:r>
    <w:r w:rsidR="00B7753A">
      <w:fldChar w:fldCharType="separate"/>
    </w:r>
    <w:r>
      <w:instrText>2</w:instrText>
    </w:r>
    <w:r w:rsidR="00B7753A">
      <w:fldChar w:fldCharType="end"/>
    </w:r>
    <w:r>
      <w:instrText>+1</w:instrText>
    </w:r>
    <w:r>
      <w:fldChar w:fldCharType="separate"/>
    </w:r>
    <w:r>
      <w:instrText>3</w:instrText>
    </w:r>
    <w:r>
      <w:fldChar w:fldCharType="end"/>
    </w:r>
    <w:r>
      <w:instrText>"</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8DA" w:rsidRDefault="00B768DA">
      <w:r>
        <w:separator/>
      </w:r>
    </w:p>
  </w:footnote>
  <w:footnote w:type="continuationSeparator" w:id="0">
    <w:p w:rsidR="00B768DA" w:rsidRDefault="00B76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DE" w:rsidRDefault="00E762DE" w:rsidP="00E762DE">
    <w:pPr>
      <w:pStyle w:val="Kopfzeile"/>
      <w:jc w:val="center"/>
    </w:pPr>
    <w:r w:rsidRPr="005F7271">
      <w:rPr>
        <w:rFonts w:cs="Arial"/>
        <w:b/>
        <w:bCs/>
        <w:sz w:val="28"/>
        <w:szCs w:val="28"/>
      </w:rPr>
      <w:t>mittelstandsdepesche 0</w:t>
    </w:r>
    <w:r>
      <w:rPr>
        <w:rFonts w:cs="Arial"/>
        <w:b/>
        <w:bCs/>
        <w:sz w:val="28"/>
        <w:szCs w:val="28"/>
      </w:rPr>
      <w:t>5</w:t>
    </w:r>
    <w:r w:rsidRPr="005F7271">
      <w:rPr>
        <w:rFonts w:cs="Arial"/>
        <w:b/>
        <w:bCs/>
        <w:sz w:val="28"/>
        <w:szCs w:val="28"/>
      </w:rPr>
      <w:t>-2017</w:t>
    </w:r>
  </w:p>
  <w:p w:rsidR="00E762DE" w:rsidRDefault="00E762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DE" w:rsidRDefault="00E762DE" w:rsidP="00E762DE">
    <w:pPr>
      <w:pStyle w:val="Kopfzeile"/>
      <w:jc w:val="center"/>
    </w:pPr>
    <w:r w:rsidRPr="005F7271">
      <w:rPr>
        <w:rFonts w:cs="Arial"/>
        <w:b/>
        <w:bCs/>
        <w:sz w:val="28"/>
        <w:szCs w:val="28"/>
      </w:rPr>
      <w:t>mittelstandsdepesche 0</w:t>
    </w:r>
    <w:r>
      <w:rPr>
        <w:rFonts w:cs="Arial"/>
        <w:b/>
        <w:bCs/>
        <w:sz w:val="28"/>
        <w:szCs w:val="28"/>
      </w:rPr>
      <w:t>5</w:t>
    </w:r>
    <w:r w:rsidRPr="005F7271">
      <w:rPr>
        <w:rFonts w:cs="Arial"/>
        <w:b/>
        <w:bCs/>
        <w:sz w:val="28"/>
        <w:szCs w:val="28"/>
      </w:rPr>
      <w:t>-2017</w:t>
    </w:r>
  </w:p>
  <w:p w:rsidR="00E762DE" w:rsidRDefault="00E762D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ttachedTemplate r:id="rId1"/>
  <w:defaultTabStop w:val="567"/>
  <w:autoHyphenation/>
  <w:hyphenationZone w:val="425"/>
  <w:doNotHyphenateCaps/>
  <w:drawingGridHorizontalSpacing w:val="110"/>
  <w:drawingGridVerticalSpacing w:val="299"/>
  <w:displayHorizontalDrawingGridEvery w:val="0"/>
  <w:doNotShadeFormData/>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eGUID" w:val="{F39B8672-D3E3-44F5-B303-9269EE7A5F42}"/>
    <w:docVar w:name="AktenNr" w:val="000840-2006/001:00"/>
    <w:docVar w:name="DokArt" w:val="SVER"/>
    <w:docVar w:name="DokBeschreibung" w:val="Vertrag"/>
    <w:docVar w:name="DokLfdNr" w:val="00715"/>
    <w:docVar w:name="Empfaenger" w:val="48136"/>
    <w:docVar w:name="EmpfGruppe" w:val="90"/>
    <w:docVar w:name="OFFICEEVENTSDISABLED" w:val="001000/20170524141326"/>
    <w:docVar w:name="szBet" w:val="1    "/>
    <w:docVar w:name="XPFaehig" w:val="1"/>
  </w:docVars>
  <w:rsids>
    <w:rsidRoot w:val="008C1FE8"/>
    <w:rsid w:val="00052718"/>
    <w:rsid w:val="000D15BA"/>
    <w:rsid w:val="001B6023"/>
    <w:rsid w:val="002D61F7"/>
    <w:rsid w:val="0032388F"/>
    <w:rsid w:val="00385BF2"/>
    <w:rsid w:val="004377DD"/>
    <w:rsid w:val="004C5518"/>
    <w:rsid w:val="005F7271"/>
    <w:rsid w:val="006868DD"/>
    <w:rsid w:val="006A4AD9"/>
    <w:rsid w:val="00713544"/>
    <w:rsid w:val="00747F17"/>
    <w:rsid w:val="007D230B"/>
    <w:rsid w:val="00897AAC"/>
    <w:rsid w:val="008C11E7"/>
    <w:rsid w:val="008C1FE8"/>
    <w:rsid w:val="009A2131"/>
    <w:rsid w:val="009E6BE2"/>
    <w:rsid w:val="00AE2635"/>
    <w:rsid w:val="00B768DA"/>
    <w:rsid w:val="00B7753A"/>
    <w:rsid w:val="00CF1283"/>
    <w:rsid w:val="00CF6856"/>
    <w:rsid w:val="00DA1080"/>
    <w:rsid w:val="00E762DE"/>
    <w:rsid w:val="00E93722"/>
    <w:rsid w:val="00F617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14365E-1FA0-457A-B04C-331EBC3E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1FE8"/>
    <w:rPr>
      <w:rFonts w:ascii="Arial" w:hAnsi="Arial"/>
      <w:sz w:val="22"/>
    </w:rPr>
  </w:style>
  <w:style w:type="paragraph" w:styleId="berschrift1">
    <w:name w:val="heading 1"/>
    <w:basedOn w:val="Standard"/>
    <w:next w:val="Standard"/>
    <w:link w:val="berschrift1Zchn"/>
    <w:uiPriority w:val="9"/>
    <w:qFormat/>
    <w:rsid w:val="008C1FE8"/>
    <w:pPr>
      <w:spacing w:before="240"/>
      <w:outlineLvl w:val="0"/>
    </w:pPr>
    <w:rPr>
      <w:b/>
      <w:u w:val="single"/>
    </w:rPr>
  </w:style>
  <w:style w:type="paragraph" w:styleId="berschrift2">
    <w:name w:val="heading 2"/>
    <w:basedOn w:val="Standard"/>
    <w:next w:val="Standard"/>
    <w:link w:val="berschrift2Zchn"/>
    <w:uiPriority w:val="9"/>
    <w:qFormat/>
    <w:rsid w:val="008C1FE8"/>
    <w:pPr>
      <w:spacing w:before="12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paragraph" w:styleId="Fuzeile">
    <w:name w:val="footer"/>
    <w:basedOn w:val="Standard"/>
    <w:link w:val="FuzeileZchn"/>
    <w:uiPriority w:val="99"/>
    <w:semiHidden/>
    <w:rsid w:val="008C1FE8"/>
    <w:pPr>
      <w:tabs>
        <w:tab w:val="right" w:pos="8504"/>
      </w:tabs>
    </w:pPr>
  </w:style>
  <w:style w:type="character" w:customStyle="1" w:styleId="FuzeileZchn">
    <w:name w:val="Fußzeile Zchn"/>
    <w:basedOn w:val="Absatz-Standardschriftart"/>
    <w:link w:val="Fuzeile"/>
    <w:uiPriority w:val="99"/>
    <w:semiHidden/>
    <w:locked/>
    <w:rPr>
      <w:rFonts w:ascii="Arial" w:hAnsi="Arial" w:cs="Times New Roman"/>
      <w:sz w:val="22"/>
    </w:rPr>
  </w:style>
  <w:style w:type="paragraph" w:styleId="Kopfzeile">
    <w:name w:val="header"/>
    <w:basedOn w:val="Standard"/>
    <w:link w:val="KopfzeileZchn"/>
    <w:uiPriority w:val="99"/>
    <w:rsid w:val="008C1FE8"/>
    <w:pPr>
      <w:tabs>
        <w:tab w:val="center" w:pos="4819"/>
        <w:tab w:val="right" w:pos="9071"/>
      </w:tabs>
    </w:pPr>
  </w:style>
  <w:style w:type="character" w:customStyle="1" w:styleId="KopfzeileZchn">
    <w:name w:val="Kopfzeile Zchn"/>
    <w:basedOn w:val="Absatz-Standardschriftart"/>
    <w:link w:val="Kopfzeile"/>
    <w:uiPriority w:val="99"/>
    <w:locked/>
    <w:rPr>
      <w:rFonts w:ascii="Arial" w:hAnsi="Arial" w:cs="Times New Roman"/>
      <w:sz w:val="22"/>
    </w:rPr>
  </w:style>
  <w:style w:type="paragraph" w:customStyle="1" w:styleId="Einrck1">
    <w:name w:val="Einrück1"/>
    <w:basedOn w:val="Normaltext"/>
    <w:rsid w:val="008C1FE8"/>
    <w:pPr>
      <w:ind w:left="425" w:hanging="425"/>
    </w:pPr>
  </w:style>
  <w:style w:type="paragraph" w:customStyle="1" w:styleId="Normaltext">
    <w:name w:val="Normaltext"/>
    <w:basedOn w:val="Standard"/>
    <w:rsid w:val="008C1FE8"/>
    <w:pPr>
      <w:spacing w:line="360" w:lineRule="exact"/>
    </w:pPr>
  </w:style>
  <w:style w:type="paragraph" w:customStyle="1" w:styleId="Einrck2">
    <w:name w:val="Einrück2"/>
    <w:basedOn w:val="Einrck1"/>
    <w:rsid w:val="008C1FE8"/>
    <w:pPr>
      <w:ind w:left="850"/>
    </w:pPr>
  </w:style>
  <w:style w:type="paragraph" w:customStyle="1" w:styleId="Einrck3">
    <w:name w:val="Einrück3"/>
    <w:basedOn w:val="Einrck2"/>
    <w:rsid w:val="008C1FE8"/>
    <w:pPr>
      <w:ind w:left="1276"/>
    </w:pPr>
  </w:style>
  <w:style w:type="paragraph" w:customStyle="1" w:styleId="Einrck4">
    <w:name w:val="Einrück4"/>
    <w:basedOn w:val="Einrck3"/>
    <w:rsid w:val="008C1FE8"/>
    <w:pPr>
      <w:ind w:left="1701"/>
    </w:pPr>
  </w:style>
  <w:style w:type="paragraph" w:customStyle="1" w:styleId="Standort">
    <w:name w:val="Standort"/>
    <w:basedOn w:val="Standard"/>
    <w:rsid w:val="008C1FE8"/>
    <w:pPr>
      <w:tabs>
        <w:tab w:val="left" w:pos="5387"/>
      </w:tabs>
    </w:pPr>
  </w:style>
  <w:style w:type="character" w:styleId="Hyperlink">
    <w:name w:val="Hyperlink"/>
    <w:basedOn w:val="Absatz-Standardschriftart"/>
    <w:uiPriority w:val="99"/>
    <w:semiHidden/>
    <w:unhideWhenUsed/>
    <w:rsid w:val="006A4AD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183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EV\DATEN\PHANTASY\ORIGINAL\Dot\phanbla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5fe5a94b-08d7-422b-8f79-fccbb3405eda</BSO999929>
</file>

<file path=customXml/itemProps1.xml><?xml version="1.0" encoding="utf-8"?>
<ds:datastoreItem xmlns:ds="http://schemas.openxmlformats.org/officeDocument/2006/customXml" ds:itemID="{385FB32A-7F50-4270-94B1-12B9261F2ACB}">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phanblan.dot</Template>
  <TotalTime>0</TotalTime>
  <Pages>2</Pages>
  <Words>451</Words>
  <Characters>2842</Characters>
  <Application>Microsoft Office Word</Application>
  <DocSecurity>0</DocSecurity>
  <Lines>23</Lines>
  <Paragraphs>6</Paragraphs>
  <ScaleCrop>false</ScaleCrop>
  <Company>Roggelin &amp; Partner</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 Brief Orginal</dc:title>
  <dc:subject>Agentur-Ticker wegen</dc:subject>
  <dc:creator>em</dc:creator>
  <cp:keywords>00840-06 Agentur-Ticker</cp:keywords>
  <dc:description>Ref.:SEMINARTÄTIGKEIT, SB:Stefan Engelhardt</dc:description>
  <cp:lastModifiedBy>Administrator</cp:lastModifiedBy>
  <cp:revision>2</cp:revision>
  <cp:lastPrinted>2017-05-24T13:00:00Z</cp:lastPrinted>
  <dcterms:created xsi:type="dcterms:W3CDTF">2017-05-31T08:04:00Z</dcterms:created>
  <dcterms:modified xsi:type="dcterms:W3CDTF">2017-05-31T08:04:00Z</dcterms:modified>
</cp:coreProperties>
</file>