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FA9" w:rsidRPr="00501FA9" w:rsidRDefault="00501FA9" w:rsidP="00501FA9">
      <w:pPr>
        <w:tabs>
          <w:tab w:val="center" w:pos="4536"/>
          <w:tab w:val="right" w:pos="9072"/>
        </w:tabs>
        <w:jc w:val="right"/>
        <w:rPr>
          <w:rFonts w:ascii="Arial" w:hAnsi="Arial" w:cs="Arial"/>
        </w:rPr>
      </w:pPr>
      <w:bookmarkStart w:id="0" w:name="_GoBack"/>
      <w:bookmarkEnd w:id="0"/>
      <w:r w:rsidRPr="00501FA9">
        <w:rPr>
          <w:rFonts w:ascii="Arial" w:hAnsi="Arial" w:cs="Arial"/>
          <w:b/>
          <w:bCs/>
          <w:sz w:val="40"/>
          <w:szCs w:val="40"/>
        </w:rPr>
        <w:t>DASV</w:t>
      </w:r>
    </w:p>
    <w:p w:rsidR="00501FA9" w:rsidRPr="00501FA9" w:rsidRDefault="00501FA9" w:rsidP="00501FA9">
      <w:pPr>
        <w:jc w:val="right"/>
        <w:rPr>
          <w:rFonts w:ascii="Arial" w:hAnsi="Arial" w:cs="Arial"/>
          <w:sz w:val="20"/>
          <w:szCs w:val="20"/>
        </w:rPr>
      </w:pPr>
      <w:bookmarkStart w:id="1" w:name="2"/>
      <w:bookmarkStart w:id="2" w:name="9"/>
      <w:bookmarkEnd w:id="1"/>
      <w:bookmarkEnd w:id="2"/>
      <w:r w:rsidRPr="00501FA9">
        <w:rPr>
          <w:rFonts w:ascii="Arial" w:hAnsi="Arial" w:cs="Arial"/>
          <w:sz w:val="20"/>
          <w:szCs w:val="20"/>
        </w:rPr>
        <w:t>Deutsche Anwalts- und</w:t>
      </w:r>
    </w:p>
    <w:p w:rsidR="00501FA9" w:rsidRPr="00501FA9" w:rsidRDefault="00501FA9" w:rsidP="00501FA9">
      <w:pPr>
        <w:jc w:val="right"/>
        <w:rPr>
          <w:rFonts w:ascii="Arial" w:hAnsi="Arial" w:cs="Arial"/>
          <w:sz w:val="20"/>
          <w:szCs w:val="20"/>
        </w:rPr>
      </w:pPr>
      <w:r w:rsidRPr="00501FA9">
        <w:rPr>
          <w:rFonts w:ascii="Arial" w:hAnsi="Arial" w:cs="Arial"/>
          <w:sz w:val="20"/>
          <w:szCs w:val="20"/>
        </w:rPr>
        <w:t>Steuerberatervereinigung</w:t>
      </w:r>
    </w:p>
    <w:p w:rsidR="00501FA9" w:rsidRPr="00501FA9" w:rsidRDefault="00501FA9" w:rsidP="00501FA9">
      <w:pPr>
        <w:jc w:val="right"/>
        <w:rPr>
          <w:rFonts w:ascii="Arial" w:hAnsi="Arial" w:cs="Arial"/>
          <w:sz w:val="20"/>
          <w:szCs w:val="20"/>
        </w:rPr>
      </w:pPr>
      <w:r w:rsidRPr="00501FA9">
        <w:rPr>
          <w:rFonts w:ascii="Arial" w:hAnsi="Arial" w:cs="Arial"/>
          <w:sz w:val="20"/>
          <w:szCs w:val="20"/>
        </w:rPr>
        <w:t>für die mittelständische</w:t>
      </w:r>
    </w:p>
    <w:p w:rsidR="00501FA9" w:rsidRPr="00501FA9" w:rsidRDefault="00501FA9" w:rsidP="00501FA9">
      <w:pPr>
        <w:jc w:val="right"/>
        <w:rPr>
          <w:rFonts w:ascii="Arial" w:hAnsi="Arial" w:cs="Arial"/>
          <w:sz w:val="20"/>
          <w:szCs w:val="20"/>
        </w:rPr>
      </w:pPr>
      <w:r w:rsidRPr="00501FA9">
        <w:rPr>
          <w:rFonts w:ascii="Arial" w:hAnsi="Arial" w:cs="Arial"/>
          <w:sz w:val="20"/>
          <w:szCs w:val="20"/>
        </w:rPr>
        <w:t>Wirtschaft e. V.</w:t>
      </w:r>
    </w:p>
    <w:p w:rsidR="00387C0C" w:rsidRDefault="00387C0C" w:rsidP="00501FA9">
      <w:pPr>
        <w:jc w:val="center"/>
        <w:rPr>
          <w:rFonts w:ascii="Arial" w:hAnsi="Arial" w:cs="Arial"/>
          <w:b/>
          <w:bCs/>
          <w:sz w:val="20"/>
          <w:szCs w:val="20"/>
          <w:lang w:eastAsia="en-US"/>
        </w:rPr>
      </w:pPr>
    </w:p>
    <w:p w:rsidR="00501FA9" w:rsidRPr="00501FA9" w:rsidRDefault="00501FA9" w:rsidP="00501FA9">
      <w:pPr>
        <w:jc w:val="center"/>
        <w:rPr>
          <w:rFonts w:ascii="Arial" w:hAnsi="Arial" w:cs="Arial"/>
          <w:b/>
          <w:bCs/>
          <w:sz w:val="20"/>
          <w:szCs w:val="20"/>
          <w:lang w:eastAsia="en-US"/>
        </w:rPr>
      </w:pPr>
      <w:r w:rsidRPr="00501FA9">
        <w:rPr>
          <w:rFonts w:ascii="Arial" w:hAnsi="Arial" w:cs="Arial"/>
          <w:b/>
          <w:bCs/>
          <w:sz w:val="20"/>
          <w:szCs w:val="20"/>
          <w:lang w:eastAsia="en-US"/>
        </w:rPr>
        <w:t>10 Urteile, die Ihre Leser interessieren könnten</w:t>
      </w:r>
    </w:p>
    <w:p w:rsidR="00501FA9" w:rsidRPr="00501FA9" w:rsidRDefault="00501FA9" w:rsidP="00501FA9">
      <w:pPr>
        <w:jc w:val="center"/>
        <w:rPr>
          <w:rFonts w:ascii="Arial" w:hAnsi="Arial" w:cs="Arial"/>
          <w:b/>
          <w:bCs/>
          <w:sz w:val="20"/>
          <w:szCs w:val="20"/>
          <w:lang w:eastAsia="en-US"/>
        </w:rPr>
      </w:pPr>
    </w:p>
    <w:p w:rsidR="00501FA9" w:rsidRPr="00501FA9" w:rsidRDefault="00501FA9" w:rsidP="00501FA9">
      <w:pPr>
        <w:jc w:val="center"/>
        <w:rPr>
          <w:rFonts w:ascii="Arial" w:hAnsi="Arial" w:cs="Arial"/>
          <w:sz w:val="20"/>
          <w:szCs w:val="20"/>
          <w:lang w:eastAsia="en-US"/>
        </w:rPr>
      </w:pPr>
      <w:r w:rsidRPr="00501FA9">
        <w:rPr>
          <w:rFonts w:ascii="Arial" w:hAnsi="Arial" w:cs="Arial"/>
          <w:sz w:val="20"/>
          <w:szCs w:val="20"/>
          <w:lang w:eastAsia="en-US"/>
        </w:rPr>
        <w:t>zusammengestellt von Rechtsanwalt/Fachanwalt für Arbeitsrecht u. Fachanwalt für Erbrecht</w:t>
      </w:r>
    </w:p>
    <w:p w:rsidR="00501FA9" w:rsidRPr="00501FA9" w:rsidRDefault="00501FA9" w:rsidP="00501FA9">
      <w:pPr>
        <w:ind w:right="540"/>
        <w:jc w:val="center"/>
        <w:rPr>
          <w:rFonts w:ascii="Arial" w:hAnsi="Arial" w:cs="Arial"/>
          <w:bCs/>
          <w:sz w:val="20"/>
          <w:szCs w:val="20"/>
          <w:lang w:eastAsia="en-US"/>
        </w:rPr>
      </w:pPr>
      <w:r w:rsidRPr="00501FA9">
        <w:rPr>
          <w:rFonts w:ascii="Arial" w:hAnsi="Arial" w:cs="Arial"/>
          <w:bCs/>
          <w:sz w:val="20"/>
          <w:szCs w:val="20"/>
          <w:lang w:eastAsia="en-US"/>
        </w:rPr>
        <w:t>Michael Henn, Stuttgart</w:t>
      </w:r>
    </w:p>
    <w:p w:rsidR="00501FA9" w:rsidRPr="00501FA9" w:rsidRDefault="00501FA9" w:rsidP="0014030A">
      <w:pPr>
        <w:pStyle w:val="berschrift3"/>
        <w:rPr>
          <w:rFonts w:ascii="Arial" w:hAnsi="Arial" w:cs="Arial"/>
          <w:sz w:val="20"/>
          <w:szCs w:val="20"/>
        </w:rPr>
      </w:pPr>
    </w:p>
    <w:p w:rsidR="00501FA9" w:rsidRPr="00501FA9" w:rsidRDefault="00501FA9" w:rsidP="00387C0C">
      <w:pPr>
        <w:pStyle w:val="berschrift3"/>
        <w:spacing w:after="0" w:line="240" w:lineRule="auto"/>
        <w:jc w:val="center"/>
        <w:rPr>
          <w:rFonts w:ascii="Arial" w:hAnsi="Arial" w:cs="Arial"/>
          <w:sz w:val="20"/>
          <w:szCs w:val="20"/>
        </w:rPr>
      </w:pPr>
      <w:r>
        <w:rPr>
          <w:rFonts w:ascii="Arial" w:hAnsi="Arial" w:cs="Arial"/>
          <w:sz w:val="20"/>
          <w:szCs w:val="20"/>
        </w:rPr>
        <w:t>I.</w:t>
      </w:r>
    </w:p>
    <w:p w:rsidR="00501FA9" w:rsidRPr="00501FA9" w:rsidRDefault="00501FA9" w:rsidP="00387C0C">
      <w:pPr>
        <w:pStyle w:val="berschrift3"/>
        <w:spacing w:after="0" w:line="240" w:lineRule="auto"/>
        <w:jc w:val="center"/>
        <w:rPr>
          <w:rFonts w:ascii="Arial" w:hAnsi="Arial" w:cs="Arial"/>
          <w:sz w:val="20"/>
          <w:szCs w:val="20"/>
        </w:rPr>
      </w:pPr>
      <w:r w:rsidRPr="00501FA9">
        <w:rPr>
          <w:rFonts w:ascii="Arial" w:hAnsi="Arial" w:cs="Arial"/>
          <w:sz w:val="20"/>
          <w:szCs w:val="20"/>
        </w:rPr>
        <w:t>Zahlungsverweigerung des Kunden</w:t>
      </w:r>
    </w:p>
    <w:p w:rsidR="0014030A" w:rsidRDefault="00501FA9" w:rsidP="00387C0C">
      <w:pPr>
        <w:pStyle w:val="berschrift3"/>
        <w:spacing w:after="0" w:line="240" w:lineRule="auto"/>
        <w:jc w:val="center"/>
        <w:rPr>
          <w:rFonts w:ascii="Arial" w:hAnsi="Arial" w:cs="Arial"/>
          <w:b w:val="0"/>
          <w:sz w:val="20"/>
          <w:szCs w:val="20"/>
        </w:rPr>
      </w:pPr>
      <w:r w:rsidRPr="00501FA9">
        <w:rPr>
          <w:rFonts w:ascii="Arial" w:hAnsi="Arial" w:cs="Arial"/>
          <w:b w:val="0"/>
          <w:sz w:val="20"/>
          <w:szCs w:val="20"/>
        </w:rPr>
        <w:t xml:space="preserve">BGH, </w:t>
      </w:r>
      <w:r w:rsidR="0014030A" w:rsidRPr="00501FA9">
        <w:rPr>
          <w:rFonts w:ascii="Arial" w:hAnsi="Arial" w:cs="Arial"/>
          <w:b w:val="0"/>
          <w:sz w:val="20"/>
          <w:szCs w:val="20"/>
        </w:rPr>
        <w:t>Urteil vom 07.02.2018, Az</w:t>
      </w:r>
      <w:r w:rsidRPr="00501FA9">
        <w:rPr>
          <w:rFonts w:ascii="Arial" w:hAnsi="Arial" w:cs="Arial"/>
          <w:b w:val="0"/>
          <w:sz w:val="20"/>
          <w:szCs w:val="20"/>
        </w:rPr>
        <w:t>.</w:t>
      </w:r>
      <w:r w:rsidR="0014030A" w:rsidRPr="00501FA9">
        <w:rPr>
          <w:rFonts w:ascii="Arial" w:hAnsi="Arial" w:cs="Arial"/>
          <w:b w:val="0"/>
          <w:sz w:val="20"/>
          <w:szCs w:val="20"/>
        </w:rPr>
        <w:t xml:space="preserve"> VIII ZR 148/17</w:t>
      </w:r>
    </w:p>
    <w:p w:rsidR="00387C0C" w:rsidRPr="00501FA9" w:rsidRDefault="00387C0C" w:rsidP="00387C0C">
      <w:pPr>
        <w:pStyle w:val="berschrift3"/>
        <w:spacing w:after="0" w:line="240" w:lineRule="auto"/>
        <w:jc w:val="center"/>
        <w:rPr>
          <w:rFonts w:ascii="Arial" w:hAnsi="Arial" w:cs="Arial"/>
          <w:b w:val="0"/>
          <w:sz w:val="20"/>
          <w:szCs w:val="20"/>
        </w:rPr>
      </w:pPr>
    </w:p>
    <w:p w:rsidR="0014030A" w:rsidRPr="00501FA9" w:rsidRDefault="0014030A" w:rsidP="00387C0C">
      <w:pPr>
        <w:jc w:val="both"/>
        <w:rPr>
          <w:rFonts w:ascii="Arial" w:hAnsi="Arial" w:cs="Arial"/>
          <w:sz w:val="20"/>
          <w:szCs w:val="20"/>
        </w:rPr>
      </w:pPr>
      <w:r w:rsidRPr="00501FA9">
        <w:rPr>
          <w:rFonts w:ascii="Arial" w:hAnsi="Arial" w:cs="Arial"/>
          <w:sz w:val="20"/>
          <w:szCs w:val="20"/>
        </w:rPr>
        <w:t>Die Frage, ob von einem Haushaltskunden erhobene Einwendungen gegen eine Stromrechnung die "ernsthafte Möglichkeit eines offensichtlichen Fehlers" belegen und den Kunden deshalb zur Zahlungsverweigerung nach § 17 Abs. 2 Nr. 1 StromGVV berechtigen, ist unter Würdigung aller konkreten Umstände des Einzelfalls zu beantworten (hier: angebliche Verzehnfachung des Verbrauchs bei moderatem Haushaltszuschnitt). Danach berechtigte Einwendungen des Kunden hat der Versorger bereits im Zahlungsprozess zu widerlegen.</w:t>
      </w:r>
    </w:p>
    <w:p w:rsidR="00D32887" w:rsidRPr="00501FA9" w:rsidRDefault="0014030A" w:rsidP="00387C0C">
      <w:pPr>
        <w:jc w:val="both"/>
        <w:rPr>
          <w:rFonts w:ascii="Arial" w:hAnsi="Arial" w:cs="Arial"/>
          <w:sz w:val="20"/>
          <w:szCs w:val="20"/>
        </w:rPr>
      </w:pPr>
      <w:r w:rsidRPr="00501FA9">
        <w:rPr>
          <w:rFonts w:ascii="Arial" w:hAnsi="Arial" w:cs="Arial"/>
          <w:sz w:val="20"/>
          <w:szCs w:val="20"/>
        </w:rPr>
        <w:t>StromGVV § 17 Abs. 2 Nr. 2</w:t>
      </w:r>
      <w:r w:rsidR="00501FA9">
        <w:rPr>
          <w:rFonts w:ascii="Arial" w:hAnsi="Arial" w:cs="Arial"/>
          <w:sz w:val="20"/>
          <w:szCs w:val="20"/>
        </w:rPr>
        <w:t xml:space="preserve"> </w:t>
      </w:r>
      <w:r w:rsidRPr="00501FA9">
        <w:rPr>
          <w:rFonts w:ascii="Arial" w:hAnsi="Arial" w:cs="Arial"/>
          <w:sz w:val="20"/>
          <w:szCs w:val="20"/>
        </w:rPr>
        <w:t>§ 17 Abs. 2 Nr. 2 StromGVV stellt keine abschließende Regelung sämtlicher Fälle von Verbrauchssteigerungen dar.</w:t>
      </w:r>
    </w:p>
    <w:p w:rsidR="001F6056" w:rsidRPr="00501FA9" w:rsidRDefault="001F6056" w:rsidP="00387C0C">
      <w:pPr>
        <w:rPr>
          <w:rFonts w:ascii="Arial" w:hAnsi="Arial" w:cs="Arial"/>
          <w:sz w:val="20"/>
          <w:szCs w:val="20"/>
        </w:rPr>
      </w:pPr>
    </w:p>
    <w:p w:rsidR="001F6056" w:rsidRPr="00501FA9" w:rsidRDefault="00501FA9" w:rsidP="00387C0C">
      <w:pPr>
        <w:jc w:val="center"/>
        <w:rPr>
          <w:rFonts w:ascii="Arial" w:hAnsi="Arial" w:cs="Arial"/>
          <w:b/>
          <w:sz w:val="20"/>
          <w:szCs w:val="20"/>
        </w:rPr>
      </w:pPr>
      <w:r w:rsidRPr="00501FA9">
        <w:rPr>
          <w:rFonts w:ascii="Arial" w:hAnsi="Arial" w:cs="Arial"/>
          <w:b/>
          <w:sz w:val="20"/>
          <w:szCs w:val="20"/>
        </w:rPr>
        <w:t>II.</w:t>
      </w:r>
    </w:p>
    <w:p w:rsidR="001F6056" w:rsidRPr="00501FA9" w:rsidRDefault="001F6056" w:rsidP="00387C0C">
      <w:pPr>
        <w:pStyle w:val="berschrift3"/>
        <w:spacing w:after="0" w:line="240" w:lineRule="auto"/>
        <w:jc w:val="center"/>
        <w:rPr>
          <w:rFonts w:ascii="Arial" w:hAnsi="Arial" w:cs="Arial"/>
          <w:sz w:val="20"/>
          <w:szCs w:val="20"/>
        </w:rPr>
      </w:pPr>
      <w:r w:rsidRPr="00501FA9">
        <w:rPr>
          <w:rFonts w:ascii="Arial" w:hAnsi="Arial" w:cs="Arial"/>
          <w:sz w:val="20"/>
          <w:szCs w:val="20"/>
        </w:rPr>
        <w:t>Verlängerung eines Vertrages über Werbeflächen</w:t>
      </w:r>
    </w:p>
    <w:p w:rsidR="001F6056" w:rsidRDefault="00501FA9" w:rsidP="00387C0C">
      <w:pPr>
        <w:pStyle w:val="berschrift4"/>
        <w:spacing w:after="0"/>
        <w:jc w:val="center"/>
        <w:rPr>
          <w:rFonts w:ascii="Arial" w:hAnsi="Arial" w:cs="Arial"/>
          <w:color w:val="auto"/>
          <w:sz w:val="20"/>
          <w:szCs w:val="20"/>
        </w:rPr>
      </w:pPr>
      <w:r w:rsidRPr="00501FA9">
        <w:rPr>
          <w:rFonts w:ascii="Arial" w:hAnsi="Arial" w:cs="Arial"/>
          <w:color w:val="auto"/>
          <w:sz w:val="20"/>
          <w:szCs w:val="20"/>
        </w:rPr>
        <w:t xml:space="preserve">BGH, </w:t>
      </w:r>
      <w:r w:rsidR="001F6056" w:rsidRPr="00501FA9">
        <w:rPr>
          <w:rFonts w:ascii="Arial" w:hAnsi="Arial" w:cs="Arial"/>
          <w:color w:val="auto"/>
          <w:sz w:val="20"/>
          <w:szCs w:val="20"/>
        </w:rPr>
        <w:t>Urteil vom 14.03.2018, Az</w:t>
      </w:r>
      <w:r>
        <w:rPr>
          <w:rFonts w:ascii="Arial" w:hAnsi="Arial" w:cs="Arial"/>
          <w:color w:val="auto"/>
          <w:sz w:val="20"/>
          <w:szCs w:val="20"/>
        </w:rPr>
        <w:t>.</w:t>
      </w:r>
      <w:r w:rsidR="001F6056" w:rsidRPr="00501FA9">
        <w:rPr>
          <w:rFonts w:ascii="Arial" w:hAnsi="Arial" w:cs="Arial"/>
          <w:color w:val="auto"/>
          <w:sz w:val="20"/>
          <w:szCs w:val="20"/>
        </w:rPr>
        <w:t xml:space="preserve"> XII ZR 31/17</w:t>
      </w:r>
    </w:p>
    <w:p w:rsidR="00387C0C" w:rsidRPr="00501FA9" w:rsidRDefault="00387C0C" w:rsidP="00387C0C">
      <w:pPr>
        <w:pStyle w:val="berschrift4"/>
        <w:spacing w:after="0"/>
        <w:jc w:val="center"/>
        <w:rPr>
          <w:rFonts w:ascii="Arial" w:hAnsi="Arial" w:cs="Arial"/>
          <w:color w:val="auto"/>
          <w:sz w:val="20"/>
          <w:szCs w:val="20"/>
        </w:rPr>
      </w:pPr>
    </w:p>
    <w:p w:rsidR="001F6056" w:rsidRPr="00501FA9" w:rsidRDefault="001F6056" w:rsidP="00387C0C">
      <w:pPr>
        <w:jc w:val="both"/>
        <w:rPr>
          <w:rFonts w:ascii="Arial" w:hAnsi="Arial" w:cs="Arial"/>
          <w:sz w:val="20"/>
          <w:szCs w:val="20"/>
        </w:rPr>
      </w:pPr>
      <w:r w:rsidRPr="00501FA9">
        <w:rPr>
          <w:rFonts w:ascii="Arial" w:hAnsi="Arial" w:cs="Arial"/>
          <w:sz w:val="20"/>
          <w:szCs w:val="20"/>
        </w:rPr>
        <w:t>Eine Klausel zur automatischen Verlängerung eines Vertrags über Werbeflächen auf Kraftfahrzeugen ist wegen fehlender Transparenz unwirksam, wenn bei Vertragsbeginn nicht eindeutig feststeht, bis wann die Kündigung zur Abwendung der Verlängerung spätestens ausgesprochen werden muss (im Anschluss an Senatsurteil vom 25. Oktober 2017 - XII ZR 1/17 - NZM 2018, 125).</w:t>
      </w:r>
    </w:p>
    <w:p w:rsidR="0003745A" w:rsidRDefault="0003745A" w:rsidP="00387C0C">
      <w:pPr>
        <w:rPr>
          <w:rFonts w:ascii="Arial" w:hAnsi="Arial" w:cs="Arial"/>
          <w:sz w:val="21"/>
          <w:szCs w:val="21"/>
        </w:rPr>
      </w:pPr>
    </w:p>
    <w:p w:rsidR="00501FA9" w:rsidRPr="00501FA9" w:rsidRDefault="00501FA9" w:rsidP="00387C0C">
      <w:pPr>
        <w:jc w:val="center"/>
        <w:rPr>
          <w:rFonts w:ascii="Arial" w:hAnsi="Arial" w:cs="Arial"/>
          <w:b/>
          <w:sz w:val="20"/>
          <w:szCs w:val="20"/>
        </w:rPr>
      </w:pPr>
      <w:r w:rsidRPr="00501FA9">
        <w:rPr>
          <w:rFonts w:ascii="Arial" w:hAnsi="Arial" w:cs="Arial"/>
          <w:b/>
          <w:sz w:val="20"/>
          <w:szCs w:val="20"/>
        </w:rPr>
        <w:t>III.</w:t>
      </w:r>
    </w:p>
    <w:p w:rsidR="00501FA9" w:rsidRPr="00501FA9" w:rsidRDefault="00501FA9" w:rsidP="00387C0C">
      <w:pPr>
        <w:jc w:val="center"/>
        <w:rPr>
          <w:rFonts w:ascii="Arial" w:hAnsi="Arial" w:cs="Arial"/>
          <w:sz w:val="20"/>
          <w:szCs w:val="20"/>
        </w:rPr>
      </w:pPr>
      <w:r w:rsidRPr="00501FA9">
        <w:rPr>
          <w:rFonts w:ascii="Arial" w:hAnsi="Arial" w:cs="Arial"/>
          <w:sz w:val="20"/>
          <w:szCs w:val="20"/>
        </w:rPr>
        <w:t>AG Dortmund, Urteil vom 10.04.2018, Az. 425 C 7881/17</w:t>
      </w:r>
    </w:p>
    <w:p w:rsidR="00501FA9" w:rsidRDefault="00501FA9" w:rsidP="00387C0C">
      <w:pPr>
        <w:rPr>
          <w:rFonts w:ascii="Arial" w:hAnsi="Arial" w:cs="Arial"/>
          <w:sz w:val="21"/>
          <w:szCs w:val="21"/>
        </w:rPr>
      </w:pPr>
    </w:p>
    <w:p w:rsidR="00501FA9" w:rsidRPr="00501FA9" w:rsidRDefault="00501FA9" w:rsidP="00387C0C">
      <w:pPr>
        <w:jc w:val="both"/>
        <w:rPr>
          <w:rFonts w:ascii="Arial" w:hAnsi="Arial" w:cs="Arial"/>
          <w:sz w:val="20"/>
          <w:szCs w:val="20"/>
        </w:rPr>
      </w:pPr>
      <w:r w:rsidRPr="00501FA9">
        <w:rPr>
          <w:rFonts w:ascii="Arial" w:hAnsi="Arial" w:cs="Arial"/>
          <w:sz w:val="20"/>
          <w:szCs w:val="20"/>
        </w:rPr>
        <w:t>1. Der Betriebsrat ist nicht rechtsfähig.</w:t>
      </w:r>
    </w:p>
    <w:p w:rsidR="00501FA9" w:rsidRPr="00501FA9" w:rsidRDefault="00501FA9" w:rsidP="00387C0C">
      <w:pPr>
        <w:jc w:val="both"/>
        <w:rPr>
          <w:rFonts w:ascii="Arial" w:hAnsi="Arial" w:cs="Arial"/>
          <w:sz w:val="20"/>
          <w:szCs w:val="20"/>
        </w:rPr>
      </w:pPr>
      <w:r w:rsidRPr="00501FA9">
        <w:rPr>
          <w:rFonts w:ascii="Arial" w:hAnsi="Arial" w:cs="Arial"/>
          <w:sz w:val="20"/>
          <w:szCs w:val="20"/>
        </w:rPr>
        <w:t>2. Er kann im eigenen Namen keine Job-Ticket-Verträge mit einem Verkehrsverbund abschließen.</w:t>
      </w:r>
    </w:p>
    <w:p w:rsidR="00501FA9" w:rsidRDefault="00501FA9" w:rsidP="00387C0C">
      <w:pPr>
        <w:jc w:val="both"/>
        <w:rPr>
          <w:rFonts w:ascii="Arial" w:hAnsi="Arial" w:cs="Arial"/>
          <w:sz w:val="20"/>
          <w:szCs w:val="20"/>
        </w:rPr>
      </w:pPr>
      <w:r w:rsidRPr="00501FA9">
        <w:rPr>
          <w:rFonts w:ascii="Arial" w:hAnsi="Arial" w:cs="Arial"/>
          <w:sz w:val="20"/>
          <w:szCs w:val="20"/>
        </w:rPr>
        <w:t>3.</w:t>
      </w:r>
      <w:r>
        <w:rPr>
          <w:rFonts w:ascii="Arial" w:hAnsi="Arial" w:cs="Arial"/>
          <w:sz w:val="20"/>
          <w:szCs w:val="20"/>
        </w:rPr>
        <w:t xml:space="preserve"> </w:t>
      </w:r>
      <w:r w:rsidRPr="00501FA9">
        <w:rPr>
          <w:rFonts w:ascii="Arial" w:hAnsi="Arial" w:cs="Arial"/>
          <w:sz w:val="20"/>
          <w:szCs w:val="20"/>
        </w:rPr>
        <w:t>Er kann auch keine dritte Person beauftragen, für ihn Job-Ticket-Verträge, die er selbst abgeschlossen hat, "abzuwickeln", also Gelder einzuziehen oder sogar einzuklagen.</w:t>
      </w:r>
      <w:r>
        <w:rPr>
          <w:rFonts w:ascii="Arial" w:hAnsi="Arial" w:cs="Arial"/>
          <w:sz w:val="20"/>
          <w:szCs w:val="20"/>
        </w:rPr>
        <w:t xml:space="preserve"> </w:t>
      </w:r>
    </w:p>
    <w:p w:rsidR="00501FA9" w:rsidRPr="00501FA9" w:rsidRDefault="00501FA9" w:rsidP="00387C0C">
      <w:pPr>
        <w:jc w:val="both"/>
        <w:rPr>
          <w:rFonts w:ascii="Arial" w:hAnsi="Arial" w:cs="Arial"/>
          <w:sz w:val="20"/>
          <w:szCs w:val="20"/>
        </w:rPr>
      </w:pPr>
      <w:r w:rsidRPr="00501FA9">
        <w:rPr>
          <w:rFonts w:ascii="Arial" w:hAnsi="Arial" w:cs="Arial"/>
          <w:sz w:val="20"/>
          <w:szCs w:val="20"/>
        </w:rPr>
        <w:t>4. Auch Ansprüche aus Geschäftsführung ohne Auftrag scheiden in diesem Fall aus.</w:t>
      </w:r>
    </w:p>
    <w:p w:rsidR="00501FA9" w:rsidRPr="00501FA9" w:rsidRDefault="00501FA9" w:rsidP="00387C0C">
      <w:pPr>
        <w:jc w:val="both"/>
        <w:rPr>
          <w:rFonts w:ascii="Arial" w:hAnsi="Arial" w:cs="Arial"/>
          <w:sz w:val="20"/>
          <w:szCs w:val="20"/>
        </w:rPr>
      </w:pPr>
      <w:r w:rsidRPr="00501FA9">
        <w:rPr>
          <w:rFonts w:ascii="Arial" w:hAnsi="Arial" w:cs="Arial"/>
          <w:sz w:val="20"/>
          <w:szCs w:val="20"/>
        </w:rPr>
        <w:t>5. Eine in einem nach dem 30. September 2016 abgeschlossene Vertrag enthaltene Schriftformklausel ist gem. § 309 Nr. 13 BGB unwirksam.</w:t>
      </w:r>
    </w:p>
    <w:p w:rsidR="00501FA9" w:rsidRPr="00501FA9" w:rsidRDefault="00501FA9" w:rsidP="00387C0C">
      <w:pPr>
        <w:jc w:val="both"/>
        <w:rPr>
          <w:rFonts w:ascii="Arial" w:hAnsi="Arial" w:cs="Arial"/>
          <w:sz w:val="20"/>
          <w:szCs w:val="20"/>
        </w:rPr>
      </w:pPr>
      <w:r w:rsidRPr="00501FA9">
        <w:rPr>
          <w:rFonts w:ascii="Arial" w:hAnsi="Arial" w:cs="Arial"/>
          <w:sz w:val="20"/>
          <w:szCs w:val="20"/>
        </w:rPr>
        <w:t>6. Ob die Unwirksamkeit des Schriftformerfordernisses zugleich auch die im gleichen Satz ent</w:t>
      </w:r>
      <w:r>
        <w:rPr>
          <w:rFonts w:ascii="Arial" w:hAnsi="Arial" w:cs="Arial"/>
          <w:sz w:val="20"/>
          <w:szCs w:val="20"/>
        </w:rPr>
        <w:t>haltene Kündigungsfrist erfasst</w:t>
      </w:r>
    </w:p>
    <w:p w:rsidR="00501FA9" w:rsidRDefault="00501FA9" w:rsidP="00387C0C">
      <w:pPr>
        <w:rPr>
          <w:rFonts w:ascii="Arial" w:hAnsi="Arial" w:cs="Arial"/>
          <w:sz w:val="21"/>
          <w:szCs w:val="21"/>
        </w:rPr>
      </w:pPr>
    </w:p>
    <w:p w:rsidR="0003745A" w:rsidRPr="00501FA9" w:rsidRDefault="00501FA9" w:rsidP="00387C0C">
      <w:pPr>
        <w:jc w:val="center"/>
        <w:rPr>
          <w:rFonts w:ascii="Arial" w:hAnsi="Arial" w:cs="Arial"/>
          <w:b/>
          <w:sz w:val="20"/>
          <w:szCs w:val="20"/>
        </w:rPr>
      </w:pPr>
      <w:r w:rsidRPr="00501FA9">
        <w:rPr>
          <w:rFonts w:ascii="Arial" w:hAnsi="Arial" w:cs="Arial"/>
          <w:b/>
          <w:sz w:val="20"/>
          <w:szCs w:val="20"/>
        </w:rPr>
        <w:t>IV.</w:t>
      </w:r>
    </w:p>
    <w:p w:rsidR="0003745A" w:rsidRPr="00501FA9" w:rsidRDefault="00501FA9" w:rsidP="00387C0C">
      <w:pPr>
        <w:jc w:val="center"/>
        <w:rPr>
          <w:rFonts w:ascii="Arial" w:hAnsi="Arial" w:cs="Arial"/>
          <w:sz w:val="20"/>
          <w:szCs w:val="20"/>
        </w:rPr>
      </w:pPr>
      <w:r w:rsidRPr="00501FA9">
        <w:rPr>
          <w:rFonts w:ascii="Arial" w:hAnsi="Arial" w:cs="Arial"/>
          <w:sz w:val="20"/>
          <w:szCs w:val="20"/>
        </w:rPr>
        <w:t>Bayerisches Landessozialgericht, Urteil vom 22. März 2018</w:t>
      </w:r>
      <w:r>
        <w:rPr>
          <w:rFonts w:ascii="Arial" w:hAnsi="Arial" w:cs="Arial"/>
          <w:sz w:val="20"/>
          <w:szCs w:val="20"/>
        </w:rPr>
        <w:t>, Az.</w:t>
      </w:r>
      <w:r w:rsidRPr="00501FA9">
        <w:rPr>
          <w:rFonts w:ascii="Arial" w:hAnsi="Arial" w:cs="Arial"/>
          <w:sz w:val="20"/>
          <w:szCs w:val="20"/>
        </w:rPr>
        <w:t xml:space="preserve"> L 7 R 5059/17</w:t>
      </w:r>
    </w:p>
    <w:p w:rsidR="00501FA9" w:rsidRDefault="00501FA9" w:rsidP="00387C0C">
      <w:pPr>
        <w:rPr>
          <w:rFonts w:ascii="Arial" w:hAnsi="Arial" w:cs="Arial"/>
          <w:sz w:val="20"/>
          <w:szCs w:val="20"/>
        </w:rPr>
      </w:pPr>
    </w:p>
    <w:p w:rsidR="00501FA9" w:rsidRPr="00501FA9" w:rsidRDefault="00501FA9" w:rsidP="00387C0C">
      <w:pPr>
        <w:jc w:val="both"/>
        <w:rPr>
          <w:rFonts w:ascii="Arial" w:hAnsi="Arial" w:cs="Arial"/>
          <w:sz w:val="20"/>
          <w:szCs w:val="20"/>
        </w:rPr>
      </w:pPr>
      <w:r w:rsidRPr="00501FA9">
        <w:rPr>
          <w:rFonts w:ascii="Arial" w:hAnsi="Arial" w:cs="Arial"/>
          <w:sz w:val="20"/>
          <w:szCs w:val="20"/>
        </w:rPr>
        <w:t>Bereitschaftsdienst im Krankenhaus ist regelmäßig abhängige Beschäftigung des diesen Dienst leistenden Arztes</w:t>
      </w:r>
    </w:p>
    <w:p w:rsidR="00501FA9" w:rsidRDefault="00501FA9" w:rsidP="00387C0C">
      <w:pPr>
        <w:rPr>
          <w:rFonts w:ascii="Arial" w:hAnsi="Arial" w:cs="Arial"/>
          <w:sz w:val="20"/>
          <w:szCs w:val="20"/>
        </w:rPr>
      </w:pPr>
    </w:p>
    <w:p w:rsidR="00501FA9" w:rsidRPr="00501FA9" w:rsidRDefault="00501FA9" w:rsidP="00387C0C">
      <w:pPr>
        <w:jc w:val="center"/>
        <w:rPr>
          <w:rFonts w:ascii="Arial" w:hAnsi="Arial" w:cs="Arial"/>
          <w:b/>
          <w:sz w:val="20"/>
          <w:szCs w:val="20"/>
        </w:rPr>
      </w:pPr>
      <w:r w:rsidRPr="00501FA9">
        <w:rPr>
          <w:rFonts w:ascii="Arial" w:hAnsi="Arial" w:cs="Arial"/>
          <w:b/>
          <w:sz w:val="20"/>
          <w:szCs w:val="20"/>
        </w:rPr>
        <w:t>V.</w:t>
      </w:r>
    </w:p>
    <w:p w:rsidR="00501FA9" w:rsidRPr="00501FA9" w:rsidRDefault="00501FA9" w:rsidP="00387C0C">
      <w:pPr>
        <w:jc w:val="center"/>
        <w:rPr>
          <w:rFonts w:ascii="Arial" w:hAnsi="Arial" w:cs="Arial"/>
          <w:b/>
          <w:sz w:val="20"/>
          <w:szCs w:val="20"/>
        </w:rPr>
      </w:pPr>
      <w:r w:rsidRPr="00501FA9">
        <w:rPr>
          <w:rFonts w:ascii="Arial" w:hAnsi="Arial" w:cs="Arial"/>
          <w:b/>
          <w:sz w:val="20"/>
          <w:szCs w:val="20"/>
        </w:rPr>
        <w:t>Vorabentscheidungsersuchen - selbständiger Handelsvertreter - Art 17 EWGRL 653/86 - Ausgleichsanspruch - Schadensersatzanspruch - Ausschluss - Probezeit</w:t>
      </w:r>
    </w:p>
    <w:p w:rsidR="0003745A" w:rsidRDefault="00501FA9" w:rsidP="00387C0C">
      <w:pPr>
        <w:jc w:val="center"/>
        <w:rPr>
          <w:rFonts w:ascii="Arial" w:hAnsi="Arial" w:cs="Arial"/>
          <w:sz w:val="20"/>
          <w:szCs w:val="20"/>
        </w:rPr>
      </w:pPr>
      <w:r w:rsidRPr="00501FA9">
        <w:rPr>
          <w:rFonts w:ascii="Arial" w:hAnsi="Arial" w:cs="Arial"/>
          <w:sz w:val="20"/>
          <w:szCs w:val="20"/>
        </w:rPr>
        <w:t>EuGH, Urteil vom 19. April 2018</w:t>
      </w:r>
      <w:r>
        <w:rPr>
          <w:rFonts w:ascii="Arial" w:hAnsi="Arial" w:cs="Arial"/>
          <w:sz w:val="20"/>
          <w:szCs w:val="20"/>
        </w:rPr>
        <w:t>, Az.</w:t>
      </w:r>
      <w:r w:rsidRPr="00501FA9">
        <w:rPr>
          <w:rFonts w:ascii="Arial" w:hAnsi="Arial" w:cs="Arial"/>
          <w:sz w:val="20"/>
          <w:szCs w:val="20"/>
        </w:rPr>
        <w:t xml:space="preserve"> </w:t>
      </w:r>
      <w:r>
        <w:rPr>
          <w:rFonts w:ascii="Arial" w:hAnsi="Arial" w:cs="Arial"/>
          <w:sz w:val="20"/>
          <w:szCs w:val="20"/>
        </w:rPr>
        <w:t xml:space="preserve">C-645/16 </w:t>
      </w:r>
    </w:p>
    <w:p w:rsidR="00387C0C" w:rsidRDefault="00387C0C" w:rsidP="00387C0C">
      <w:pPr>
        <w:jc w:val="center"/>
        <w:rPr>
          <w:rFonts w:ascii="Arial" w:hAnsi="Arial" w:cs="Arial"/>
          <w:sz w:val="20"/>
          <w:szCs w:val="20"/>
        </w:rPr>
      </w:pPr>
    </w:p>
    <w:p w:rsidR="00501FA9" w:rsidRDefault="00501FA9" w:rsidP="00387C0C">
      <w:pPr>
        <w:jc w:val="both"/>
        <w:rPr>
          <w:rFonts w:ascii="Arial" w:hAnsi="Arial" w:cs="Arial"/>
          <w:sz w:val="20"/>
          <w:szCs w:val="20"/>
        </w:rPr>
      </w:pPr>
      <w:r w:rsidRPr="00501FA9">
        <w:rPr>
          <w:rFonts w:ascii="Arial" w:hAnsi="Arial" w:cs="Arial"/>
          <w:sz w:val="20"/>
          <w:szCs w:val="20"/>
        </w:rPr>
        <w:t xml:space="preserve">Art. 17 der Richtlinie 86/653/EWG des Rates vom 18. Dezember 1986 zur Koordinierung der Rechtsvorschriften der Mitgliedstaaten betreffend die selbständigen Handelsvertreter ist dahin auszulegen, dass die in seinen Abs. 2 und 3 vorgesehene Ausgleichs- und Schadensersatzregelung im </w:t>
      </w:r>
      <w:r w:rsidRPr="00501FA9">
        <w:rPr>
          <w:rFonts w:ascii="Arial" w:hAnsi="Arial" w:cs="Arial"/>
          <w:sz w:val="20"/>
          <w:szCs w:val="20"/>
        </w:rPr>
        <w:lastRenderedPageBreak/>
        <w:t>Fall der Beendigung des Handelsvertretervertrags anwendbar ist, wenn die Beendigung während der in diesem Vertrag festgelegten Probezeit eintritt.</w:t>
      </w:r>
    </w:p>
    <w:p w:rsidR="00501FA9" w:rsidRDefault="00501FA9" w:rsidP="00387C0C">
      <w:pPr>
        <w:jc w:val="both"/>
        <w:rPr>
          <w:rFonts w:ascii="Arial" w:hAnsi="Arial" w:cs="Arial"/>
          <w:sz w:val="20"/>
          <w:szCs w:val="20"/>
        </w:rPr>
      </w:pPr>
    </w:p>
    <w:p w:rsidR="00501FA9" w:rsidRPr="00387C0C" w:rsidRDefault="00387C0C" w:rsidP="00387C0C">
      <w:pPr>
        <w:jc w:val="center"/>
        <w:rPr>
          <w:rFonts w:ascii="Arial" w:hAnsi="Arial" w:cs="Arial"/>
          <w:b/>
          <w:sz w:val="20"/>
          <w:szCs w:val="20"/>
        </w:rPr>
      </w:pPr>
      <w:r w:rsidRPr="00387C0C">
        <w:rPr>
          <w:rFonts w:ascii="Arial" w:hAnsi="Arial" w:cs="Arial"/>
          <w:b/>
          <w:sz w:val="20"/>
          <w:szCs w:val="20"/>
        </w:rPr>
        <w:t>VI.</w:t>
      </w:r>
    </w:p>
    <w:p w:rsidR="00387C0C" w:rsidRDefault="00387C0C" w:rsidP="00387C0C">
      <w:pPr>
        <w:jc w:val="center"/>
        <w:rPr>
          <w:rFonts w:ascii="Arial" w:hAnsi="Arial" w:cs="Arial"/>
          <w:b/>
          <w:sz w:val="20"/>
          <w:szCs w:val="20"/>
        </w:rPr>
      </w:pPr>
      <w:r w:rsidRPr="00387C0C">
        <w:rPr>
          <w:rFonts w:ascii="Arial" w:hAnsi="Arial" w:cs="Arial"/>
          <w:b/>
          <w:sz w:val="20"/>
          <w:szCs w:val="20"/>
        </w:rPr>
        <w:t>Handelsvertretervertrag: Erlass eines Teilurteils bei verschiedenen prozessualen Ansprüchen; außerordentliche Kündigung wegen unbefugten Speicherns von Daten und Betriebsgeheimnissen; Inhalt der Kündigungserklärung</w:t>
      </w:r>
    </w:p>
    <w:p w:rsidR="00387C0C" w:rsidRPr="00387C0C" w:rsidRDefault="00387C0C" w:rsidP="00387C0C">
      <w:pPr>
        <w:jc w:val="center"/>
        <w:rPr>
          <w:rFonts w:ascii="Arial" w:hAnsi="Arial" w:cs="Arial"/>
          <w:sz w:val="20"/>
          <w:szCs w:val="20"/>
        </w:rPr>
      </w:pPr>
      <w:r w:rsidRPr="00387C0C">
        <w:rPr>
          <w:rFonts w:ascii="Arial" w:hAnsi="Arial" w:cs="Arial"/>
          <w:sz w:val="20"/>
          <w:szCs w:val="20"/>
        </w:rPr>
        <w:t>OLG München, Urteil vom 08. Februar 2018</w:t>
      </w:r>
      <w:r>
        <w:rPr>
          <w:rFonts w:ascii="Arial" w:hAnsi="Arial" w:cs="Arial"/>
          <w:sz w:val="20"/>
          <w:szCs w:val="20"/>
        </w:rPr>
        <w:t>, Az.</w:t>
      </w:r>
      <w:r w:rsidRPr="00387C0C">
        <w:rPr>
          <w:rFonts w:ascii="Arial" w:hAnsi="Arial" w:cs="Arial"/>
          <w:sz w:val="20"/>
          <w:szCs w:val="20"/>
        </w:rPr>
        <w:t xml:space="preserve"> 23 U 1932/17</w:t>
      </w:r>
    </w:p>
    <w:p w:rsidR="0003745A" w:rsidRDefault="0003745A" w:rsidP="00387C0C">
      <w:pPr>
        <w:rPr>
          <w:rFonts w:ascii="Arial" w:hAnsi="Arial" w:cs="Arial"/>
          <w:sz w:val="20"/>
          <w:szCs w:val="20"/>
        </w:rPr>
      </w:pPr>
    </w:p>
    <w:p w:rsidR="00387C0C" w:rsidRPr="00387C0C" w:rsidRDefault="00387C0C" w:rsidP="00387C0C">
      <w:pPr>
        <w:jc w:val="both"/>
        <w:rPr>
          <w:rFonts w:ascii="Arial" w:hAnsi="Arial" w:cs="Arial"/>
          <w:sz w:val="20"/>
          <w:szCs w:val="20"/>
        </w:rPr>
      </w:pPr>
      <w:r w:rsidRPr="00387C0C">
        <w:rPr>
          <w:rFonts w:ascii="Arial" w:hAnsi="Arial" w:cs="Arial"/>
          <w:sz w:val="20"/>
          <w:szCs w:val="20"/>
        </w:rPr>
        <w:t>1. Der Erlass eines Teilurteils nach § 301 ZPO kommt bereits dann nicht in Betracht, wenn eine materiell-rechtliche Verzahnung mehrerer prozessualer Ansprüche besteht und daher die Gefahr widersprüchlicher Entscheidungen nicht ausgeschlossen werden kann.(Rn.20)</w:t>
      </w:r>
    </w:p>
    <w:p w:rsidR="00387C0C" w:rsidRDefault="00387C0C" w:rsidP="00387C0C">
      <w:pPr>
        <w:jc w:val="both"/>
        <w:rPr>
          <w:rFonts w:ascii="Arial" w:hAnsi="Arial" w:cs="Arial"/>
          <w:sz w:val="20"/>
          <w:szCs w:val="20"/>
        </w:rPr>
      </w:pPr>
      <w:r w:rsidRPr="00387C0C">
        <w:rPr>
          <w:rFonts w:ascii="Arial" w:hAnsi="Arial" w:cs="Arial"/>
          <w:sz w:val="20"/>
          <w:szCs w:val="20"/>
        </w:rPr>
        <w:t>2. Bei einer Kündigung des Handelsvertretervertrags aus wichtigem Grund ist eine Angabe von Kündigungsgründen in der Kündigungserklärung nicht erforderlich. Im Rahmen der Wirksamkeitsprüfung der Kündigung sind alle Gründe zu berücksichtigen, die zum Kündigungszeitpunkt objektiv gegeben waren</w:t>
      </w:r>
      <w:r>
        <w:rPr>
          <w:rFonts w:ascii="Arial" w:hAnsi="Arial" w:cs="Arial"/>
          <w:sz w:val="20"/>
          <w:szCs w:val="20"/>
        </w:rPr>
        <w:t xml:space="preserve"> </w:t>
      </w:r>
      <w:r w:rsidRPr="00387C0C">
        <w:rPr>
          <w:rFonts w:ascii="Arial" w:hAnsi="Arial" w:cs="Arial"/>
          <w:sz w:val="20"/>
          <w:szCs w:val="20"/>
        </w:rPr>
        <w:t>(Rn.25)</w:t>
      </w:r>
    </w:p>
    <w:p w:rsidR="00387C0C" w:rsidRDefault="00387C0C" w:rsidP="00387C0C">
      <w:pPr>
        <w:jc w:val="both"/>
        <w:rPr>
          <w:rFonts w:ascii="Arial" w:hAnsi="Arial" w:cs="Arial"/>
          <w:sz w:val="20"/>
          <w:szCs w:val="20"/>
        </w:rPr>
      </w:pPr>
    </w:p>
    <w:p w:rsidR="00387C0C" w:rsidRPr="00387C0C" w:rsidRDefault="00387C0C" w:rsidP="00387C0C">
      <w:pPr>
        <w:jc w:val="center"/>
        <w:rPr>
          <w:rFonts w:ascii="Arial" w:hAnsi="Arial" w:cs="Arial"/>
          <w:b/>
          <w:sz w:val="20"/>
          <w:szCs w:val="20"/>
        </w:rPr>
      </w:pPr>
      <w:r w:rsidRPr="00387C0C">
        <w:rPr>
          <w:rFonts w:ascii="Arial" w:hAnsi="Arial" w:cs="Arial"/>
          <w:b/>
          <w:sz w:val="20"/>
          <w:szCs w:val="20"/>
        </w:rPr>
        <w:t>VII.</w:t>
      </w:r>
    </w:p>
    <w:p w:rsidR="00387C0C" w:rsidRDefault="00387C0C" w:rsidP="00387C0C">
      <w:pPr>
        <w:jc w:val="center"/>
        <w:rPr>
          <w:rFonts w:ascii="Arial" w:hAnsi="Arial" w:cs="Arial"/>
          <w:sz w:val="20"/>
          <w:szCs w:val="20"/>
        </w:rPr>
      </w:pPr>
      <w:r w:rsidRPr="00387C0C">
        <w:rPr>
          <w:rFonts w:ascii="Arial" w:hAnsi="Arial" w:cs="Arial"/>
          <w:sz w:val="20"/>
          <w:szCs w:val="20"/>
        </w:rPr>
        <w:t>Thüringer Oberlandesgericht, Urteil vom 29. März 2018</w:t>
      </w:r>
      <w:r>
        <w:rPr>
          <w:rFonts w:ascii="Arial" w:hAnsi="Arial" w:cs="Arial"/>
          <w:sz w:val="20"/>
          <w:szCs w:val="20"/>
        </w:rPr>
        <w:t>, Az.</w:t>
      </w:r>
      <w:r w:rsidRPr="00387C0C">
        <w:rPr>
          <w:rFonts w:ascii="Arial" w:hAnsi="Arial" w:cs="Arial"/>
          <w:sz w:val="20"/>
          <w:szCs w:val="20"/>
        </w:rPr>
        <w:t xml:space="preserve"> 4 U 740/13</w:t>
      </w:r>
    </w:p>
    <w:p w:rsidR="00387C0C" w:rsidRDefault="00387C0C" w:rsidP="00387C0C">
      <w:pPr>
        <w:jc w:val="both"/>
        <w:rPr>
          <w:rFonts w:ascii="Arial" w:hAnsi="Arial" w:cs="Arial"/>
          <w:sz w:val="20"/>
          <w:szCs w:val="20"/>
        </w:rPr>
      </w:pPr>
    </w:p>
    <w:p w:rsidR="00387C0C" w:rsidRPr="00387C0C" w:rsidRDefault="00387C0C" w:rsidP="00387C0C">
      <w:pPr>
        <w:jc w:val="both"/>
        <w:rPr>
          <w:rFonts w:ascii="Arial" w:hAnsi="Arial" w:cs="Arial"/>
          <w:sz w:val="20"/>
          <w:szCs w:val="20"/>
        </w:rPr>
      </w:pPr>
      <w:r w:rsidRPr="00387C0C">
        <w:rPr>
          <w:rFonts w:ascii="Arial" w:hAnsi="Arial" w:cs="Arial"/>
          <w:sz w:val="20"/>
          <w:szCs w:val="20"/>
        </w:rPr>
        <w:t>1. Enthalten die Bedingungen über eine Berufsunfähigkeitsversicherung die Regelung, dass keine Anzeigepflicht besteht, wenn nach Antragstellung erstmals weitere Krankheiten hinzukommen, so kann der Umstand, dass der Versicherte dem Versicherer eine nach Antragstellung, jedoch vor Vertragsannahme aufgetretene Krankheit nicht angezeigt hat, weder als Verletzung einer vorvertraglichen Anzeigepflicht gem. § 19 VVG noch als arglistige Täuschung durch Unterlassen gem. § 123 BGB beurteilt werden.</w:t>
      </w:r>
    </w:p>
    <w:p w:rsidR="00387C0C" w:rsidRDefault="00387C0C" w:rsidP="00387C0C">
      <w:pPr>
        <w:jc w:val="both"/>
        <w:rPr>
          <w:rFonts w:ascii="Arial" w:hAnsi="Arial" w:cs="Arial"/>
          <w:sz w:val="20"/>
          <w:szCs w:val="20"/>
        </w:rPr>
      </w:pPr>
      <w:r w:rsidRPr="00387C0C">
        <w:rPr>
          <w:rFonts w:ascii="Arial" w:hAnsi="Arial" w:cs="Arial"/>
          <w:sz w:val="20"/>
          <w:szCs w:val="20"/>
        </w:rPr>
        <w:t>2. Dies gilt auch dann, wenn der Versicherte im Rahmen der Beantwortung konkreter Ergänzungsfragen des Versicherers nach bestimmten Vorerkrankungen zugleich die durch den Versicherer formularmäßig vorgegebene Erklärung unterzeichnet hat, er wiederhole sämtliche Erklärungen, die er in dem zuvor gestellten Versicherungsantrag abgegeben habe.</w:t>
      </w:r>
    </w:p>
    <w:p w:rsidR="00387C0C" w:rsidRDefault="00387C0C" w:rsidP="00387C0C">
      <w:pPr>
        <w:jc w:val="both"/>
        <w:rPr>
          <w:rFonts w:ascii="Arial" w:hAnsi="Arial" w:cs="Arial"/>
          <w:sz w:val="20"/>
          <w:szCs w:val="20"/>
        </w:rPr>
      </w:pPr>
    </w:p>
    <w:p w:rsidR="00387C0C" w:rsidRPr="00387C0C" w:rsidRDefault="00387C0C" w:rsidP="00387C0C">
      <w:pPr>
        <w:jc w:val="center"/>
        <w:rPr>
          <w:rFonts w:ascii="Arial" w:hAnsi="Arial" w:cs="Arial"/>
          <w:b/>
          <w:sz w:val="20"/>
          <w:szCs w:val="20"/>
        </w:rPr>
      </w:pPr>
      <w:r w:rsidRPr="00387C0C">
        <w:rPr>
          <w:rFonts w:ascii="Arial" w:hAnsi="Arial" w:cs="Arial"/>
          <w:b/>
          <w:sz w:val="20"/>
          <w:szCs w:val="20"/>
        </w:rPr>
        <w:t>VIII.</w:t>
      </w:r>
    </w:p>
    <w:p w:rsidR="00387C0C" w:rsidRDefault="00387C0C" w:rsidP="00387C0C">
      <w:pPr>
        <w:jc w:val="center"/>
        <w:rPr>
          <w:rFonts w:ascii="Arial" w:hAnsi="Arial" w:cs="Arial"/>
          <w:sz w:val="20"/>
          <w:szCs w:val="20"/>
        </w:rPr>
      </w:pPr>
      <w:r w:rsidRPr="00387C0C">
        <w:rPr>
          <w:rFonts w:ascii="Arial" w:hAnsi="Arial" w:cs="Arial"/>
          <w:sz w:val="20"/>
          <w:szCs w:val="20"/>
        </w:rPr>
        <w:t>BGH, Urteil vom 06. Februar 2018</w:t>
      </w:r>
      <w:r>
        <w:rPr>
          <w:rFonts w:ascii="Arial" w:hAnsi="Arial" w:cs="Arial"/>
          <w:sz w:val="20"/>
          <w:szCs w:val="20"/>
        </w:rPr>
        <w:t>, Az.</w:t>
      </w:r>
      <w:r w:rsidRPr="00387C0C">
        <w:rPr>
          <w:rFonts w:ascii="Arial" w:hAnsi="Arial" w:cs="Arial"/>
          <w:sz w:val="20"/>
          <w:szCs w:val="20"/>
        </w:rPr>
        <w:t xml:space="preserve"> II ZR 17/17</w:t>
      </w:r>
    </w:p>
    <w:p w:rsidR="00387C0C" w:rsidRDefault="00387C0C" w:rsidP="00387C0C">
      <w:pPr>
        <w:jc w:val="both"/>
        <w:rPr>
          <w:rFonts w:ascii="Arial" w:hAnsi="Arial" w:cs="Arial"/>
          <w:sz w:val="20"/>
          <w:szCs w:val="20"/>
        </w:rPr>
      </w:pPr>
    </w:p>
    <w:p w:rsidR="00387C0C" w:rsidRDefault="00387C0C" w:rsidP="00387C0C">
      <w:pPr>
        <w:jc w:val="both"/>
        <w:rPr>
          <w:rFonts w:ascii="Arial" w:hAnsi="Arial" w:cs="Arial"/>
          <w:sz w:val="20"/>
          <w:szCs w:val="20"/>
        </w:rPr>
      </w:pPr>
      <w:r w:rsidRPr="00387C0C">
        <w:rPr>
          <w:rFonts w:ascii="Arial" w:hAnsi="Arial" w:cs="Arial"/>
          <w:sz w:val="20"/>
          <w:szCs w:val="20"/>
        </w:rPr>
        <w:t>Ein Anleger, der durch unrichtige Prospektangaben bewogen wurde, einer Anlagegesellschaft als Kommanditist beizutreten, kann im Rahmen des Vertrauensschadens entweder die Rückabwicklung seiner Beteiligung verlangen oder an seiner Anlageentscheidung festhalten und Ersatz des Betrages verlangen, um den er seine Beteiligung wegen der unrichtigen Prospektangaben zu teuer erworben hat (Fortführung von BGH, Urteil vom 3. Februar 2003, II ZR 233/01, DStR 2003, 1494).</w:t>
      </w:r>
    </w:p>
    <w:p w:rsidR="00387C0C" w:rsidRDefault="00387C0C" w:rsidP="00387C0C">
      <w:pPr>
        <w:jc w:val="both"/>
        <w:rPr>
          <w:rFonts w:ascii="Arial" w:hAnsi="Arial" w:cs="Arial"/>
          <w:sz w:val="20"/>
          <w:szCs w:val="20"/>
        </w:rPr>
      </w:pPr>
    </w:p>
    <w:p w:rsidR="00387C0C" w:rsidRPr="00387C0C" w:rsidRDefault="00387C0C" w:rsidP="00387C0C">
      <w:pPr>
        <w:jc w:val="center"/>
        <w:rPr>
          <w:rFonts w:ascii="Arial" w:hAnsi="Arial" w:cs="Arial"/>
          <w:b/>
          <w:sz w:val="20"/>
          <w:szCs w:val="20"/>
        </w:rPr>
      </w:pPr>
      <w:r w:rsidRPr="00387C0C">
        <w:rPr>
          <w:rFonts w:ascii="Arial" w:hAnsi="Arial" w:cs="Arial"/>
          <w:b/>
          <w:sz w:val="20"/>
          <w:szCs w:val="20"/>
        </w:rPr>
        <w:t>IX.</w:t>
      </w:r>
    </w:p>
    <w:p w:rsidR="00387C0C" w:rsidRDefault="00387C0C" w:rsidP="00387C0C">
      <w:pPr>
        <w:jc w:val="center"/>
        <w:rPr>
          <w:rFonts w:ascii="Arial" w:hAnsi="Arial" w:cs="Arial"/>
          <w:b/>
          <w:sz w:val="20"/>
          <w:szCs w:val="20"/>
        </w:rPr>
      </w:pPr>
      <w:r w:rsidRPr="00387C0C">
        <w:rPr>
          <w:rFonts w:ascii="Arial" w:hAnsi="Arial" w:cs="Arial"/>
          <w:b/>
          <w:sz w:val="20"/>
          <w:szCs w:val="20"/>
        </w:rPr>
        <w:t>Haftung des Architekten bei Fehlern in der Grobkostenschätzung und teilweisem Verstoß des Bauherrn gegen das Schwarzarbeitsverbots</w:t>
      </w:r>
    </w:p>
    <w:p w:rsidR="00387C0C" w:rsidRPr="00387C0C" w:rsidRDefault="00387C0C" w:rsidP="00387C0C">
      <w:pPr>
        <w:jc w:val="center"/>
        <w:rPr>
          <w:rFonts w:ascii="Arial" w:hAnsi="Arial" w:cs="Arial"/>
          <w:sz w:val="20"/>
          <w:szCs w:val="20"/>
        </w:rPr>
      </w:pPr>
      <w:r w:rsidRPr="00387C0C">
        <w:rPr>
          <w:rFonts w:ascii="Arial" w:hAnsi="Arial" w:cs="Arial"/>
          <w:sz w:val="20"/>
          <w:szCs w:val="20"/>
        </w:rPr>
        <w:t>Schleswig-Holsteinisches Oberlandesgericht, Urteil vom 22. März 2018</w:t>
      </w:r>
      <w:r>
        <w:rPr>
          <w:rFonts w:ascii="Arial" w:hAnsi="Arial" w:cs="Arial"/>
          <w:sz w:val="20"/>
          <w:szCs w:val="20"/>
        </w:rPr>
        <w:t>, Az.</w:t>
      </w:r>
      <w:r w:rsidRPr="00387C0C">
        <w:rPr>
          <w:rFonts w:ascii="Arial" w:hAnsi="Arial" w:cs="Arial"/>
          <w:sz w:val="20"/>
          <w:szCs w:val="20"/>
        </w:rPr>
        <w:t xml:space="preserve"> 7 U 48/16</w:t>
      </w:r>
    </w:p>
    <w:p w:rsidR="00387C0C" w:rsidRDefault="00387C0C" w:rsidP="00387C0C">
      <w:pPr>
        <w:jc w:val="both"/>
        <w:rPr>
          <w:rFonts w:ascii="Arial" w:hAnsi="Arial" w:cs="Arial"/>
          <w:sz w:val="20"/>
          <w:szCs w:val="20"/>
        </w:rPr>
      </w:pPr>
    </w:p>
    <w:p w:rsidR="00387C0C" w:rsidRPr="00387C0C" w:rsidRDefault="00387C0C" w:rsidP="00387C0C">
      <w:pPr>
        <w:jc w:val="both"/>
        <w:rPr>
          <w:rFonts w:ascii="Arial" w:hAnsi="Arial" w:cs="Arial"/>
          <w:sz w:val="20"/>
          <w:szCs w:val="20"/>
        </w:rPr>
      </w:pPr>
      <w:r w:rsidRPr="00387C0C">
        <w:rPr>
          <w:rFonts w:ascii="Arial" w:hAnsi="Arial" w:cs="Arial"/>
          <w:sz w:val="20"/>
          <w:szCs w:val="20"/>
        </w:rPr>
        <w:t>1. Fehler in der Grobkostenschätzung des Architekten können generell zwar Schadenersatzansprüche auslösen, dies gilt jedoch dann nicht, wenn zum einen der genaue Ausbaustandard zwischen den Parteien nicht klar vereinbart worden ist und/oder der zulässige Toleranzrahmen eingehalten wurde.</w:t>
      </w:r>
    </w:p>
    <w:p w:rsidR="00387C0C" w:rsidRPr="00387C0C" w:rsidRDefault="00387C0C" w:rsidP="00387C0C">
      <w:pPr>
        <w:jc w:val="both"/>
        <w:rPr>
          <w:rFonts w:ascii="Arial" w:hAnsi="Arial" w:cs="Arial"/>
          <w:sz w:val="20"/>
          <w:szCs w:val="20"/>
        </w:rPr>
      </w:pPr>
      <w:r w:rsidRPr="00387C0C">
        <w:rPr>
          <w:rFonts w:ascii="Arial" w:hAnsi="Arial" w:cs="Arial"/>
          <w:sz w:val="20"/>
          <w:szCs w:val="20"/>
        </w:rPr>
        <w:t>2. Wenn der Architektenvertrag für die Renovierung eines Altbaus keine Bestimmungen zum Ausbaustandard enthält und der Kläger nicht beweisen kann, welcher Ausbaustandard zwischen den Parteien tatsächlich vereinbart war, kann bei der Bewertung durch das Gericht als Mindeststandard "Herstellung für ordnungsgemäßes Wohnen" zugrunde gelegt werden.</w:t>
      </w:r>
    </w:p>
    <w:p w:rsidR="00387C0C" w:rsidRPr="00387C0C" w:rsidRDefault="00387C0C" w:rsidP="00387C0C">
      <w:pPr>
        <w:jc w:val="both"/>
        <w:rPr>
          <w:rFonts w:ascii="Arial" w:hAnsi="Arial" w:cs="Arial"/>
          <w:sz w:val="20"/>
          <w:szCs w:val="20"/>
        </w:rPr>
      </w:pPr>
      <w:r w:rsidRPr="00387C0C">
        <w:rPr>
          <w:rFonts w:ascii="Arial" w:hAnsi="Arial" w:cs="Arial"/>
          <w:sz w:val="20"/>
          <w:szCs w:val="20"/>
        </w:rPr>
        <w:t>3. Dem Architekten steht bei der Kostenschätzung grundsätzlich ein Toleranzrahmen zur Verfügung. Dieser kann zwar nicht generell festgelegt werden, bei der vorgezogenen Grobkostenschätzung liegt er im Bereich von 30 bis 40%.</w:t>
      </w:r>
    </w:p>
    <w:p w:rsidR="00387C0C" w:rsidRPr="00387C0C" w:rsidRDefault="00387C0C" w:rsidP="00387C0C">
      <w:pPr>
        <w:jc w:val="both"/>
        <w:rPr>
          <w:rFonts w:ascii="Arial" w:hAnsi="Arial" w:cs="Arial"/>
          <w:sz w:val="20"/>
          <w:szCs w:val="20"/>
        </w:rPr>
      </w:pPr>
      <w:r w:rsidRPr="00387C0C">
        <w:rPr>
          <w:rFonts w:ascii="Arial" w:hAnsi="Arial" w:cs="Arial"/>
          <w:sz w:val="20"/>
          <w:szCs w:val="20"/>
        </w:rPr>
        <w:t>4. Die Grobkostenschätzung des Architekten in einem frühen Stadium stellt bei einem Altbau - trotz eines vom Bauherrn genannten Finanzierungsrahmens - keine Festpreisgarantie dar. Das Risiko, dass die tatsächlichen Kosten auch höher liegen, ist einer Kostenschätzung immanent und kann grundsätzlich nicht vom Bauherrn auf den Architekten abgewälzt werden. Anderes gilt nur bei einer Bausummengarantie.</w:t>
      </w:r>
    </w:p>
    <w:p w:rsidR="00387C0C" w:rsidRDefault="00387C0C" w:rsidP="00387C0C">
      <w:pPr>
        <w:jc w:val="both"/>
        <w:rPr>
          <w:rFonts w:ascii="Arial" w:hAnsi="Arial" w:cs="Arial"/>
          <w:sz w:val="20"/>
          <w:szCs w:val="20"/>
        </w:rPr>
      </w:pPr>
      <w:r w:rsidRPr="00387C0C">
        <w:rPr>
          <w:rFonts w:ascii="Arial" w:hAnsi="Arial" w:cs="Arial"/>
          <w:sz w:val="20"/>
          <w:szCs w:val="20"/>
        </w:rPr>
        <w:t>5. Ein Verstoß des Bauherrn gegen § 1 Abs. 2 Nr. 1 SchwarzArbG hat zur Folge, dass die jeweiligen Dienstverträge mit den Bauhelfern nichtig sind und weder vertragliche Erfüllungs- noch Schadenersatz- oder Gewährleistungsansprüche gegen sie bestehen. Wenn der baubegleitende Architekt von der illegalen Beschäftigung der Bauhelfer durch den Bauherrn keine Kenntnis hatte, könnte es treuwidrig sein, wenn die Bauherr nunmehr Gewährleistungs-/Schadensersatzansprüche gegen den insoweit gutgläubigen Architekten geltend macht. Dies wäre mit dem generalpräventiven Zweck des Schwarzarbeitsverbots nicht vereinbar.</w:t>
      </w:r>
    </w:p>
    <w:p w:rsidR="00387C0C" w:rsidRDefault="00387C0C" w:rsidP="00387C0C">
      <w:pPr>
        <w:jc w:val="both"/>
        <w:rPr>
          <w:rFonts w:ascii="Arial" w:hAnsi="Arial" w:cs="Arial"/>
          <w:sz w:val="20"/>
          <w:szCs w:val="20"/>
        </w:rPr>
      </w:pPr>
    </w:p>
    <w:p w:rsidR="00387C0C" w:rsidRPr="00387C0C" w:rsidRDefault="00387C0C" w:rsidP="00387C0C">
      <w:pPr>
        <w:jc w:val="center"/>
        <w:rPr>
          <w:rFonts w:ascii="Arial" w:hAnsi="Arial" w:cs="Arial"/>
          <w:b/>
          <w:sz w:val="20"/>
          <w:szCs w:val="20"/>
        </w:rPr>
      </w:pPr>
      <w:r w:rsidRPr="00387C0C">
        <w:rPr>
          <w:rFonts w:ascii="Arial" w:hAnsi="Arial" w:cs="Arial"/>
          <w:b/>
          <w:sz w:val="20"/>
          <w:szCs w:val="20"/>
        </w:rPr>
        <w:t>X.</w:t>
      </w:r>
    </w:p>
    <w:p w:rsidR="00387C0C" w:rsidRDefault="00387C0C" w:rsidP="00387C0C">
      <w:pPr>
        <w:jc w:val="center"/>
        <w:rPr>
          <w:rFonts w:ascii="Arial" w:hAnsi="Arial" w:cs="Arial"/>
          <w:sz w:val="20"/>
          <w:szCs w:val="20"/>
        </w:rPr>
      </w:pPr>
      <w:r w:rsidRPr="00387C0C">
        <w:rPr>
          <w:rFonts w:ascii="Arial" w:hAnsi="Arial" w:cs="Arial"/>
          <w:sz w:val="20"/>
          <w:szCs w:val="20"/>
        </w:rPr>
        <w:t>LG Berlin, Urteil vom 11. April 2018</w:t>
      </w:r>
      <w:r>
        <w:rPr>
          <w:rFonts w:ascii="Arial" w:hAnsi="Arial" w:cs="Arial"/>
          <w:sz w:val="20"/>
          <w:szCs w:val="20"/>
        </w:rPr>
        <w:t>, Az.</w:t>
      </w:r>
      <w:r w:rsidRPr="00387C0C">
        <w:rPr>
          <w:rFonts w:ascii="Arial" w:hAnsi="Arial" w:cs="Arial"/>
          <w:sz w:val="20"/>
          <w:szCs w:val="20"/>
        </w:rPr>
        <w:t xml:space="preserve"> 66 S 275/17</w:t>
      </w:r>
    </w:p>
    <w:p w:rsidR="00387C0C" w:rsidRDefault="00387C0C" w:rsidP="00387C0C">
      <w:pPr>
        <w:jc w:val="both"/>
        <w:rPr>
          <w:rFonts w:ascii="Arial" w:hAnsi="Arial" w:cs="Arial"/>
          <w:sz w:val="20"/>
          <w:szCs w:val="20"/>
        </w:rPr>
      </w:pPr>
    </w:p>
    <w:p w:rsidR="00387C0C" w:rsidRPr="00387C0C" w:rsidRDefault="00387C0C" w:rsidP="00387C0C">
      <w:pPr>
        <w:jc w:val="both"/>
        <w:rPr>
          <w:rFonts w:ascii="Arial" w:hAnsi="Arial" w:cs="Arial"/>
          <w:sz w:val="20"/>
          <w:szCs w:val="20"/>
        </w:rPr>
      </w:pPr>
      <w:r w:rsidRPr="00387C0C">
        <w:rPr>
          <w:rFonts w:ascii="Arial" w:hAnsi="Arial" w:cs="Arial"/>
          <w:sz w:val="20"/>
          <w:szCs w:val="20"/>
        </w:rPr>
        <w:t xml:space="preserve">1. Zu dem berechtigten Interesse an einer nach § 553 Abs. 1 BGB beanspruchten Untervermietung muss der Mieter dem Vermieter zwar plausible und wahrheitsgemäße Angaben machen ; ein Anspruch des Vermieters, dass ihm für solche </w:t>
      </w:r>
      <w:r>
        <w:rPr>
          <w:rFonts w:ascii="Arial" w:hAnsi="Arial" w:cs="Arial"/>
          <w:sz w:val="20"/>
          <w:szCs w:val="20"/>
        </w:rPr>
        <w:t>A</w:t>
      </w:r>
      <w:r w:rsidRPr="00387C0C">
        <w:rPr>
          <w:rFonts w:ascii="Arial" w:hAnsi="Arial" w:cs="Arial"/>
          <w:sz w:val="20"/>
          <w:szCs w:val="20"/>
        </w:rPr>
        <w:t>ngaben geeignete Beweise vorgelegt werden, bevor er über die Erteilung der Erlaubnis eine Entscheidung trifft, besteht nicht.</w:t>
      </w:r>
    </w:p>
    <w:p w:rsidR="00387C0C" w:rsidRDefault="00387C0C" w:rsidP="00387C0C">
      <w:pPr>
        <w:jc w:val="both"/>
        <w:rPr>
          <w:rFonts w:ascii="Arial" w:hAnsi="Arial" w:cs="Arial"/>
          <w:sz w:val="20"/>
          <w:szCs w:val="20"/>
        </w:rPr>
      </w:pPr>
      <w:r w:rsidRPr="00387C0C">
        <w:rPr>
          <w:rFonts w:ascii="Arial" w:hAnsi="Arial" w:cs="Arial"/>
          <w:sz w:val="20"/>
          <w:szCs w:val="20"/>
        </w:rPr>
        <w:t>2. Dies gilt auch dann, wenn der Mieter als Grund für den Wunsch zur Untervermietung den Umstand anführt, sich die Wohnung wegen der Maßgabe des SGB II zu hohen Wohnkosten allein nicht länger leisten zu können. Der Vermieter ist nicht berechtigt, eine Entscheidung über die Erteilung der Erlaubnis davon abhängig zu machen, dass der Mieter zunächst einen aktuellen und vollständigen Bescheid über Leistungen des Jobcenters vorlegt.</w:t>
      </w:r>
    </w:p>
    <w:p w:rsidR="00387C0C" w:rsidRDefault="00387C0C" w:rsidP="00387C0C">
      <w:pPr>
        <w:jc w:val="both"/>
        <w:rPr>
          <w:rFonts w:ascii="Arial" w:hAnsi="Arial" w:cs="Arial"/>
          <w:sz w:val="20"/>
          <w:szCs w:val="20"/>
        </w:rPr>
      </w:pPr>
    </w:p>
    <w:p w:rsidR="00387C0C" w:rsidRDefault="00387C0C" w:rsidP="00387C0C">
      <w:pPr>
        <w:jc w:val="both"/>
        <w:rPr>
          <w:rFonts w:ascii="Arial" w:hAnsi="Arial" w:cs="Arial"/>
          <w:sz w:val="20"/>
          <w:szCs w:val="20"/>
        </w:rPr>
      </w:pPr>
    </w:p>
    <w:p w:rsidR="00387C0C" w:rsidRDefault="00387C0C" w:rsidP="00387C0C">
      <w:pPr>
        <w:jc w:val="both"/>
        <w:rPr>
          <w:rFonts w:ascii="Arial" w:hAnsi="Arial" w:cs="Arial"/>
          <w:sz w:val="20"/>
          <w:szCs w:val="20"/>
        </w:rPr>
      </w:pPr>
    </w:p>
    <w:p w:rsidR="00387C0C" w:rsidRDefault="00387C0C" w:rsidP="00387C0C">
      <w:pPr>
        <w:jc w:val="both"/>
        <w:rPr>
          <w:rFonts w:ascii="Arial" w:hAnsi="Arial" w:cs="Arial"/>
          <w:sz w:val="20"/>
          <w:szCs w:val="20"/>
        </w:rPr>
      </w:pPr>
    </w:p>
    <w:p w:rsidR="00387C0C" w:rsidRPr="00387C0C" w:rsidRDefault="00387C0C" w:rsidP="00387C0C">
      <w:pPr>
        <w:jc w:val="both"/>
        <w:rPr>
          <w:rFonts w:ascii="Arial" w:hAnsi="Arial" w:cs="Arial"/>
          <w:sz w:val="20"/>
          <w:szCs w:val="20"/>
        </w:rPr>
      </w:pPr>
      <w:r w:rsidRPr="00387C0C">
        <w:rPr>
          <w:rFonts w:ascii="Arial" w:hAnsi="Arial" w:cs="Arial"/>
          <w:sz w:val="20"/>
          <w:szCs w:val="20"/>
        </w:rPr>
        <w:t>Für Rückfragen stehe ich Ihnen gerne zur Verfügung.</w:t>
      </w:r>
    </w:p>
    <w:p w:rsidR="00387C0C" w:rsidRPr="00387C0C" w:rsidRDefault="00387C0C" w:rsidP="00387C0C">
      <w:pPr>
        <w:jc w:val="both"/>
        <w:rPr>
          <w:rFonts w:ascii="Arial" w:hAnsi="Arial" w:cs="Arial"/>
          <w:sz w:val="20"/>
          <w:szCs w:val="20"/>
        </w:rPr>
      </w:pPr>
    </w:p>
    <w:p w:rsidR="00387C0C" w:rsidRPr="00387C0C" w:rsidRDefault="00387C0C" w:rsidP="00387C0C">
      <w:pPr>
        <w:jc w:val="both"/>
        <w:rPr>
          <w:rFonts w:ascii="Arial" w:hAnsi="Arial" w:cs="Arial"/>
          <w:sz w:val="20"/>
          <w:szCs w:val="20"/>
        </w:rPr>
      </w:pPr>
    </w:p>
    <w:p w:rsidR="00387C0C" w:rsidRPr="00387C0C" w:rsidRDefault="00387C0C" w:rsidP="00387C0C">
      <w:pPr>
        <w:jc w:val="both"/>
        <w:rPr>
          <w:rFonts w:ascii="Arial" w:hAnsi="Arial" w:cs="Arial"/>
          <w:sz w:val="20"/>
          <w:szCs w:val="20"/>
        </w:rPr>
      </w:pPr>
      <w:r w:rsidRPr="00387C0C">
        <w:rPr>
          <w:rFonts w:ascii="Arial" w:hAnsi="Arial" w:cs="Arial"/>
          <w:sz w:val="20"/>
          <w:szCs w:val="20"/>
        </w:rPr>
        <w:t>Michael Henn</w:t>
      </w:r>
    </w:p>
    <w:p w:rsidR="00387C0C" w:rsidRPr="00387C0C" w:rsidRDefault="00387C0C" w:rsidP="00387C0C">
      <w:pPr>
        <w:jc w:val="both"/>
        <w:rPr>
          <w:rFonts w:ascii="Arial" w:hAnsi="Arial" w:cs="Arial"/>
          <w:sz w:val="20"/>
          <w:szCs w:val="20"/>
        </w:rPr>
      </w:pPr>
      <w:r w:rsidRPr="00387C0C">
        <w:rPr>
          <w:rFonts w:ascii="Arial" w:hAnsi="Arial" w:cs="Arial"/>
          <w:sz w:val="20"/>
          <w:szCs w:val="20"/>
        </w:rPr>
        <w:t>Rechtsanwalt</w:t>
      </w:r>
    </w:p>
    <w:p w:rsidR="00387C0C" w:rsidRPr="00387C0C" w:rsidRDefault="00387C0C" w:rsidP="00387C0C">
      <w:pPr>
        <w:jc w:val="both"/>
        <w:rPr>
          <w:rFonts w:ascii="Arial" w:hAnsi="Arial" w:cs="Arial"/>
          <w:sz w:val="20"/>
          <w:szCs w:val="20"/>
        </w:rPr>
      </w:pPr>
      <w:r w:rsidRPr="00387C0C">
        <w:rPr>
          <w:rFonts w:ascii="Arial" w:hAnsi="Arial" w:cs="Arial"/>
          <w:sz w:val="20"/>
          <w:szCs w:val="20"/>
        </w:rPr>
        <w:t>Fachanwalt für Erbrecht</w:t>
      </w:r>
    </w:p>
    <w:p w:rsidR="00387C0C" w:rsidRPr="00387C0C" w:rsidRDefault="00387C0C" w:rsidP="00387C0C">
      <w:pPr>
        <w:jc w:val="both"/>
        <w:rPr>
          <w:rFonts w:ascii="Arial" w:hAnsi="Arial" w:cs="Arial"/>
          <w:sz w:val="20"/>
          <w:szCs w:val="20"/>
        </w:rPr>
      </w:pPr>
      <w:r w:rsidRPr="00387C0C">
        <w:rPr>
          <w:rFonts w:ascii="Arial" w:hAnsi="Arial" w:cs="Arial"/>
          <w:sz w:val="20"/>
          <w:szCs w:val="20"/>
        </w:rPr>
        <w:t xml:space="preserve">Fachanwalt für Arbeitsrecht </w:t>
      </w:r>
    </w:p>
    <w:p w:rsidR="00387C0C" w:rsidRPr="00387C0C" w:rsidRDefault="00387C0C" w:rsidP="00387C0C">
      <w:pPr>
        <w:jc w:val="both"/>
        <w:rPr>
          <w:rFonts w:ascii="Arial" w:hAnsi="Arial" w:cs="Arial"/>
          <w:sz w:val="20"/>
          <w:szCs w:val="20"/>
        </w:rPr>
      </w:pPr>
      <w:r w:rsidRPr="00387C0C">
        <w:rPr>
          <w:rFonts w:ascii="Arial" w:hAnsi="Arial" w:cs="Arial"/>
          <w:sz w:val="20"/>
          <w:szCs w:val="20"/>
        </w:rPr>
        <w:t xml:space="preserve">Schriftleiter mittelstandsdepesche </w:t>
      </w:r>
    </w:p>
    <w:p w:rsidR="00387C0C" w:rsidRPr="00387C0C" w:rsidRDefault="00387C0C" w:rsidP="00387C0C">
      <w:pPr>
        <w:jc w:val="both"/>
        <w:rPr>
          <w:rFonts w:ascii="Arial" w:hAnsi="Arial" w:cs="Arial"/>
          <w:sz w:val="20"/>
          <w:szCs w:val="20"/>
        </w:rPr>
      </w:pPr>
      <w:r w:rsidRPr="00387C0C">
        <w:rPr>
          <w:rFonts w:ascii="Arial" w:hAnsi="Arial" w:cs="Arial"/>
          <w:sz w:val="20"/>
          <w:szCs w:val="20"/>
        </w:rPr>
        <w:t>Rechtsanwälte Dr. Gaupp &amp; Coll.</w:t>
      </w:r>
    </w:p>
    <w:p w:rsidR="00387C0C" w:rsidRPr="00387C0C" w:rsidRDefault="00387C0C" w:rsidP="00387C0C">
      <w:pPr>
        <w:jc w:val="both"/>
        <w:rPr>
          <w:rFonts w:ascii="Arial" w:hAnsi="Arial" w:cs="Arial"/>
          <w:sz w:val="20"/>
          <w:szCs w:val="20"/>
        </w:rPr>
      </w:pPr>
      <w:r w:rsidRPr="00387C0C">
        <w:rPr>
          <w:rFonts w:ascii="Arial" w:hAnsi="Arial" w:cs="Arial"/>
          <w:sz w:val="20"/>
          <w:szCs w:val="20"/>
        </w:rPr>
        <w:t xml:space="preserve">Kronprinzstr. 14 </w:t>
      </w:r>
    </w:p>
    <w:p w:rsidR="00387C0C" w:rsidRPr="00387C0C" w:rsidRDefault="00387C0C" w:rsidP="00387C0C">
      <w:pPr>
        <w:jc w:val="both"/>
        <w:rPr>
          <w:rFonts w:ascii="Arial" w:hAnsi="Arial" w:cs="Arial"/>
          <w:sz w:val="20"/>
          <w:szCs w:val="20"/>
        </w:rPr>
      </w:pPr>
      <w:r w:rsidRPr="00387C0C">
        <w:rPr>
          <w:rFonts w:ascii="Arial" w:hAnsi="Arial" w:cs="Arial"/>
          <w:sz w:val="20"/>
          <w:szCs w:val="20"/>
        </w:rPr>
        <w:t>70173 Stuttgart</w:t>
      </w:r>
    </w:p>
    <w:p w:rsidR="00387C0C" w:rsidRPr="00387C0C" w:rsidRDefault="00387C0C" w:rsidP="00387C0C">
      <w:pPr>
        <w:jc w:val="both"/>
        <w:rPr>
          <w:rFonts w:ascii="Arial" w:hAnsi="Arial" w:cs="Arial"/>
          <w:sz w:val="20"/>
          <w:szCs w:val="20"/>
        </w:rPr>
      </w:pPr>
      <w:r w:rsidRPr="00387C0C">
        <w:rPr>
          <w:rFonts w:ascii="Arial" w:hAnsi="Arial" w:cs="Arial"/>
          <w:sz w:val="20"/>
          <w:szCs w:val="20"/>
        </w:rPr>
        <w:t>Tel.: 0711/ 30 58 93-0</w:t>
      </w:r>
      <w:r w:rsidRPr="00387C0C">
        <w:rPr>
          <w:rFonts w:ascii="Arial" w:hAnsi="Arial" w:cs="Arial"/>
          <w:sz w:val="20"/>
          <w:szCs w:val="20"/>
        </w:rPr>
        <w:tab/>
      </w:r>
      <w:r w:rsidRPr="00387C0C">
        <w:rPr>
          <w:rFonts w:ascii="Arial" w:hAnsi="Arial" w:cs="Arial"/>
          <w:sz w:val="20"/>
          <w:szCs w:val="20"/>
        </w:rPr>
        <w:tab/>
        <w:t>Fax: 0711/ 30 58 93-11</w:t>
      </w:r>
    </w:p>
    <w:p w:rsidR="00387C0C" w:rsidRPr="00387C0C" w:rsidRDefault="00387C0C" w:rsidP="00387C0C">
      <w:pPr>
        <w:jc w:val="both"/>
        <w:rPr>
          <w:rFonts w:ascii="Arial" w:hAnsi="Arial" w:cs="Arial"/>
          <w:sz w:val="20"/>
          <w:szCs w:val="20"/>
        </w:rPr>
      </w:pPr>
      <w:r w:rsidRPr="00387C0C">
        <w:rPr>
          <w:rFonts w:ascii="Arial" w:hAnsi="Arial" w:cs="Arial"/>
          <w:sz w:val="20"/>
          <w:szCs w:val="20"/>
        </w:rPr>
        <w:t>E-Mail: henn@drgaupp.de</w:t>
      </w:r>
      <w:r w:rsidRPr="00387C0C">
        <w:rPr>
          <w:rFonts w:ascii="Arial" w:hAnsi="Arial" w:cs="Arial"/>
          <w:sz w:val="20"/>
          <w:szCs w:val="20"/>
        </w:rPr>
        <w:tab/>
        <w:t>www.drgaupp.de</w:t>
      </w:r>
    </w:p>
    <w:sectPr w:rsidR="00387C0C" w:rsidRPr="00387C0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4D2" w:rsidRDefault="00A134D2" w:rsidP="00501FA9">
      <w:r>
        <w:separator/>
      </w:r>
    </w:p>
  </w:endnote>
  <w:endnote w:type="continuationSeparator" w:id="0">
    <w:p w:rsidR="00A134D2" w:rsidRDefault="00A134D2" w:rsidP="0050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4D2" w:rsidRDefault="00A134D2" w:rsidP="00501FA9">
      <w:r>
        <w:separator/>
      </w:r>
    </w:p>
  </w:footnote>
  <w:footnote w:type="continuationSeparator" w:id="0">
    <w:p w:rsidR="00A134D2" w:rsidRDefault="00A134D2" w:rsidP="0050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A9" w:rsidRPr="00501FA9" w:rsidRDefault="00501FA9" w:rsidP="00501FA9">
    <w:pPr>
      <w:tabs>
        <w:tab w:val="center" w:pos="4819"/>
        <w:tab w:val="right" w:pos="9071"/>
      </w:tabs>
      <w:jc w:val="center"/>
      <w:rPr>
        <w:rFonts w:ascii="Arial" w:hAnsi="Arial" w:cs="Arial"/>
        <w:szCs w:val="20"/>
        <w:lang w:val="en-US"/>
      </w:rPr>
    </w:pPr>
    <w:r w:rsidRPr="00501FA9">
      <w:rPr>
        <w:rFonts w:ascii="Arial" w:hAnsi="Arial" w:cs="Arial"/>
        <w:b/>
        <w:bCs/>
        <w:sz w:val="28"/>
        <w:szCs w:val="28"/>
        <w:lang w:val="en-US"/>
      </w:rPr>
      <w:t>mittelstandsdepesche 0</w:t>
    </w:r>
    <w:r>
      <w:rPr>
        <w:rFonts w:ascii="Arial" w:hAnsi="Arial" w:cs="Arial"/>
        <w:b/>
        <w:bCs/>
        <w:sz w:val="28"/>
        <w:szCs w:val="28"/>
        <w:lang w:val="en-US"/>
      </w:rPr>
      <w:t>4</w:t>
    </w:r>
    <w:r w:rsidRPr="00501FA9">
      <w:rPr>
        <w:rFonts w:ascii="Arial" w:hAnsi="Arial" w:cs="Arial"/>
        <w:b/>
        <w:bCs/>
        <w:sz w:val="28"/>
        <w:szCs w:val="28"/>
        <w:lang w:val="en-US"/>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69BE"/>
    <w:multiLevelType w:val="multilevel"/>
    <w:tmpl w:val="F04E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2774B"/>
    <w:multiLevelType w:val="multilevel"/>
    <w:tmpl w:val="AAF0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C0B9F"/>
    <w:multiLevelType w:val="multilevel"/>
    <w:tmpl w:val="02B2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65D06"/>
    <w:multiLevelType w:val="multilevel"/>
    <w:tmpl w:val="F84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E4050"/>
    <w:multiLevelType w:val="multilevel"/>
    <w:tmpl w:val="0CE0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4369D"/>
    <w:multiLevelType w:val="multilevel"/>
    <w:tmpl w:val="B602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3671A"/>
    <w:multiLevelType w:val="multilevel"/>
    <w:tmpl w:val="1EC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003C58"/>
    <w:multiLevelType w:val="multilevel"/>
    <w:tmpl w:val="74BC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6"/>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0A"/>
    <w:rsid w:val="0003745A"/>
    <w:rsid w:val="00073818"/>
    <w:rsid w:val="000C19C3"/>
    <w:rsid w:val="00121983"/>
    <w:rsid w:val="0014030A"/>
    <w:rsid w:val="00184517"/>
    <w:rsid w:val="001F6056"/>
    <w:rsid w:val="002519BE"/>
    <w:rsid w:val="00387C0C"/>
    <w:rsid w:val="003E0E2F"/>
    <w:rsid w:val="00501FA9"/>
    <w:rsid w:val="00A134D2"/>
    <w:rsid w:val="00B94A82"/>
    <w:rsid w:val="00D32887"/>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B46D52-FBCD-46D4-A624-9FB671CF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030A"/>
    <w:pPr>
      <w:spacing w:after="0" w:line="240" w:lineRule="auto"/>
    </w:pPr>
    <w:rPr>
      <w:rFonts w:ascii="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03745A"/>
    <w:pPr>
      <w:keepNext/>
      <w:keepLines/>
      <w:spacing w:before="40"/>
      <w:outlineLvl w:val="1"/>
    </w:pPr>
    <w:rPr>
      <w:rFonts w:asciiTheme="majorHAnsi" w:eastAsiaTheme="majorEastAsia" w:hAnsiTheme="majorHAnsi"/>
      <w:color w:val="2E74B5" w:themeColor="accent1" w:themeShade="BF"/>
      <w:sz w:val="26"/>
      <w:szCs w:val="26"/>
    </w:rPr>
  </w:style>
  <w:style w:type="paragraph" w:styleId="berschrift3">
    <w:name w:val="heading 3"/>
    <w:basedOn w:val="Standard"/>
    <w:link w:val="berschrift3Zchn"/>
    <w:uiPriority w:val="9"/>
    <w:unhideWhenUsed/>
    <w:qFormat/>
    <w:rsid w:val="0014030A"/>
    <w:pPr>
      <w:spacing w:after="75" w:line="240" w:lineRule="atLeast"/>
      <w:outlineLvl w:val="2"/>
    </w:pPr>
    <w:rPr>
      <w:b/>
      <w:bCs/>
    </w:rPr>
  </w:style>
  <w:style w:type="paragraph" w:styleId="berschrift4">
    <w:name w:val="heading 4"/>
    <w:basedOn w:val="Standard"/>
    <w:link w:val="berschrift4Zchn"/>
    <w:uiPriority w:val="9"/>
    <w:semiHidden/>
    <w:unhideWhenUsed/>
    <w:qFormat/>
    <w:rsid w:val="0014030A"/>
    <w:pPr>
      <w:spacing w:after="150"/>
      <w:outlineLvl w:val="3"/>
    </w:pPr>
    <w:rPr>
      <w:color w:val="66666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sid w:val="0003745A"/>
    <w:rPr>
      <w:rFonts w:asciiTheme="majorHAnsi" w:eastAsiaTheme="majorEastAsia" w:hAnsiTheme="majorHAnsi" w:cs="Times New Roman"/>
      <w:color w:val="2E74B5" w:themeColor="accent1" w:themeShade="BF"/>
      <w:sz w:val="26"/>
      <w:szCs w:val="26"/>
      <w:lang w:val="x-none" w:eastAsia="de-DE"/>
    </w:rPr>
  </w:style>
  <w:style w:type="character" w:customStyle="1" w:styleId="berschrift3Zchn">
    <w:name w:val="Überschrift 3 Zchn"/>
    <w:basedOn w:val="Absatz-Standardschriftart"/>
    <w:link w:val="berschrift3"/>
    <w:uiPriority w:val="9"/>
    <w:locked/>
    <w:rsid w:val="0014030A"/>
    <w:rPr>
      <w:rFonts w:ascii="Times New Roman" w:hAnsi="Times New Roman" w:cs="Times New Roman"/>
      <w:b/>
      <w:bCs/>
      <w:sz w:val="24"/>
      <w:szCs w:val="24"/>
      <w:lang w:val="x-none" w:eastAsia="de-DE"/>
    </w:rPr>
  </w:style>
  <w:style w:type="character" w:customStyle="1" w:styleId="berschrift4Zchn">
    <w:name w:val="Überschrift 4 Zchn"/>
    <w:basedOn w:val="Absatz-Standardschriftart"/>
    <w:link w:val="berschrift4"/>
    <w:uiPriority w:val="9"/>
    <w:semiHidden/>
    <w:locked/>
    <w:rsid w:val="0014030A"/>
    <w:rPr>
      <w:rFonts w:ascii="Times New Roman" w:hAnsi="Times New Roman" w:cs="Times New Roman"/>
      <w:color w:val="666666"/>
      <w:sz w:val="21"/>
      <w:szCs w:val="21"/>
      <w:lang w:val="x-none" w:eastAsia="de-DE"/>
    </w:rPr>
  </w:style>
  <w:style w:type="character" w:styleId="Fett">
    <w:name w:val="Strong"/>
    <w:basedOn w:val="Absatz-Standardschriftart"/>
    <w:uiPriority w:val="22"/>
    <w:qFormat/>
    <w:rsid w:val="0003745A"/>
    <w:rPr>
      <w:rFonts w:cs="Times New Roman"/>
      <w:b/>
      <w:bCs/>
    </w:rPr>
  </w:style>
  <w:style w:type="character" w:styleId="Hyperlink">
    <w:name w:val="Hyperlink"/>
    <w:basedOn w:val="Absatz-Standardschriftart"/>
    <w:uiPriority w:val="99"/>
    <w:semiHidden/>
    <w:unhideWhenUsed/>
    <w:rsid w:val="0003745A"/>
    <w:rPr>
      <w:rFonts w:cs="Times New Roman"/>
      <w:color w:val="0000FF"/>
      <w:u w:val="single"/>
    </w:rPr>
  </w:style>
  <w:style w:type="character" w:customStyle="1" w:styleId="doclink">
    <w:name w:val="doclink"/>
    <w:basedOn w:val="Absatz-Standardschriftart"/>
    <w:rsid w:val="0003745A"/>
    <w:rPr>
      <w:rFonts w:cs="Times New Roman"/>
    </w:rPr>
  </w:style>
  <w:style w:type="paragraph" w:styleId="StandardWeb">
    <w:name w:val="Normal (Web)"/>
    <w:basedOn w:val="Standard"/>
    <w:uiPriority w:val="99"/>
    <w:semiHidden/>
    <w:unhideWhenUsed/>
    <w:rsid w:val="0003745A"/>
    <w:pPr>
      <w:spacing w:before="100" w:beforeAutospacing="1" w:after="100" w:afterAutospacing="1"/>
    </w:pPr>
  </w:style>
  <w:style w:type="paragraph" w:styleId="Kopfzeile">
    <w:name w:val="header"/>
    <w:basedOn w:val="Standard"/>
    <w:link w:val="KopfzeileZchn"/>
    <w:uiPriority w:val="99"/>
    <w:unhideWhenUsed/>
    <w:rsid w:val="00501FA9"/>
    <w:pPr>
      <w:tabs>
        <w:tab w:val="center" w:pos="4536"/>
        <w:tab w:val="right" w:pos="9072"/>
      </w:tabs>
    </w:pPr>
  </w:style>
  <w:style w:type="character" w:customStyle="1" w:styleId="KopfzeileZchn">
    <w:name w:val="Kopfzeile Zchn"/>
    <w:basedOn w:val="Absatz-Standardschriftart"/>
    <w:link w:val="Kopfzeile"/>
    <w:uiPriority w:val="99"/>
    <w:locked/>
    <w:rsid w:val="00501FA9"/>
    <w:rPr>
      <w:rFonts w:ascii="Times New Roman" w:hAnsi="Times New Roman" w:cs="Times New Roman"/>
      <w:sz w:val="24"/>
      <w:szCs w:val="24"/>
      <w:lang w:val="x-none" w:eastAsia="de-DE"/>
    </w:rPr>
  </w:style>
  <w:style w:type="paragraph" w:styleId="Fuzeile">
    <w:name w:val="footer"/>
    <w:basedOn w:val="Standard"/>
    <w:link w:val="FuzeileZchn"/>
    <w:uiPriority w:val="99"/>
    <w:unhideWhenUsed/>
    <w:rsid w:val="00501FA9"/>
    <w:pPr>
      <w:tabs>
        <w:tab w:val="center" w:pos="4536"/>
        <w:tab w:val="right" w:pos="9072"/>
      </w:tabs>
    </w:pPr>
  </w:style>
  <w:style w:type="character" w:customStyle="1" w:styleId="FuzeileZchn">
    <w:name w:val="Fußzeile Zchn"/>
    <w:basedOn w:val="Absatz-Standardschriftart"/>
    <w:link w:val="Fuzeile"/>
    <w:uiPriority w:val="99"/>
    <w:locked/>
    <w:rsid w:val="00501FA9"/>
    <w:rPr>
      <w:rFonts w:ascii="Times New Roman" w:hAnsi="Times New Roman" w:cs="Times New Roman"/>
      <w:sz w:val="24"/>
      <w:szCs w:val="24"/>
      <w:lang w:val="x-none" w:eastAsia="de-DE"/>
    </w:rPr>
  </w:style>
  <w:style w:type="character" w:styleId="BesuchterLink">
    <w:name w:val="FollowedHyperlink"/>
    <w:basedOn w:val="Absatz-Standardschriftart"/>
    <w:uiPriority w:val="99"/>
    <w:semiHidden/>
    <w:unhideWhenUsed/>
    <w:rsid w:val="00501FA9"/>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58843">
      <w:marLeft w:val="0"/>
      <w:marRight w:val="0"/>
      <w:marTop w:val="0"/>
      <w:marBottom w:val="0"/>
      <w:divBdr>
        <w:top w:val="none" w:sz="0" w:space="0" w:color="auto"/>
        <w:left w:val="none" w:sz="0" w:space="0" w:color="auto"/>
        <w:bottom w:val="none" w:sz="0" w:space="0" w:color="auto"/>
        <w:right w:val="none" w:sz="0" w:space="0" w:color="auto"/>
      </w:divBdr>
      <w:divsChild>
        <w:div w:id="1346058832">
          <w:marLeft w:val="0"/>
          <w:marRight w:val="0"/>
          <w:marTop w:val="0"/>
          <w:marBottom w:val="0"/>
          <w:divBdr>
            <w:top w:val="none" w:sz="0" w:space="0" w:color="auto"/>
            <w:left w:val="none" w:sz="0" w:space="0" w:color="auto"/>
            <w:bottom w:val="none" w:sz="0" w:space="0" w:color="auto"/>
            <w:right w:val="none" w:sz="0" w:space="0" w:color="auto"/>
          </w:divBdr>
        </w:div>
        <w:div w:id="1346058865">
          <w:marLeft w:val="0"/>
          <w:marRight w:val="0"/>
          <w:marTop w:val="0"/>
          <w:marBottom w:val="0"/>
          <w:divBdr>
            <w:top w:val="none" w:sz="0" w:space="0" w:color="auto"/>
            <w:left w:val="none" w:sz="0" w:space="0" w:color="auto"/>
            <w:bottom w:val="none" w:sz="0" w:space="0" w:color="auto"/>
            <w:right w:val="none" w:sz="0" w:space="0" w:color="auto"/>
          </w:divBdr>
          <w:divsChild>
            <w:div w:id="1346058868">
              <w:marLeft w:val="0"/>
              <w:marRight w:val="0"/>
              <w:marTop w:val="0"/>
              <w:marBottom w:val="0"/>
              <w:divBdr>
                <w:top w:val="none" w:sz="0" w:space="0" w:color="auto"/>
                <w:left w:val="none" w:sz="0" w:space="0" w:color="auto"/>
                <w:bottom w:val="none" w:sz="0" w:space="0" w:color="auto"/>
                <w:right w:val="none" w:sz="0" w:space="0" w:color="auto"/>
              </w:divBdr>
              <w:divsChild>
                <w:div w:id="13460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881">
          <w:marLeft w:val="0"/>
          <w:marRight w:val="0"/>
          <w:marTop w:val="0"/>
          <w:marBottom w:val="0"/>
          <w:divBdr>
            <w:top w:val="none" w:sz="0" w:space="0" w:color="auto"/>
            <w:left w:val="none" w:sz="0" w:space="0" w:color="auto"/>
            <w:bottom w:val="none" w:sz="0" w:space="0" w:color="auto"/>
            <w:right w:val="none" w:sz="0" w:space="0" w:color="auto"/>
          </w:divBdr>
          <w:divsChild>
            <w:div w:id="1346058829">
              <w:marLeft w:val="0"/>
              <w:marRight w:val="0"/>
              <w:marTop w:val="0"/>
              <w:marBottom w:val="0"/>
              <w:divBdr>
                <w:top w:val="none" w:sz="0" w:space="0" w:color="auto"/>
                <w:left w:val="none" w:sz="0" w:space="0" w:color="auto"/>
                <w:bottom w:val="none" w:sz="0" w:space="0" w:color="auto"/>
                <w:right w:val="none" w:sz="0" w:space="0" w:color="auto"/>
              </w:divBdr>
              <w:divsChild>
                <w:div w:id="1346058831">
                  <w:marLeft w:val="-300"/>
                  <w:marRight w:val="0"/>
                  <w:marTop w:val="60"/>
                  <w:marBottom w:val="0"/>
                  <w:divBdr>
                    <w:top w:val="none" w:sz="0" w:space="0" w:color="auto"/>
                    <w:left w:val="none" w:sz="0" w:space="0" w:color="auto"/>
                    <w:bottom w:val="none" w:sz="0" w:space="0" w:color="auto"/>
                    <w:right w:val="none" w:sz="0" w:space="0" w:color="auto"/>
                  </w:divBdr>
                </w:div>
              </w:divsChild>
            </w:div>
            <w:div w:id="1346058877">
              <w:marLeft w:val="0"/>
              <w:marRight w:val="0"/>
              <w:marTop w:val="0"/>
              <w:marBottom w:val="0"/>
              <w:divBdr>
                <w:top w:val="none" w:sz="0" w:space="0" w:color="auto"/>
                <w:left w:val="none" w:sz="0" w:space="0" w:color="auto"/>
                <w:bottom w:val="none" w:sz="0" w:space="0" w:color="auto"/>
                <w:right w:val="none" w:sz="0" w:space="0" w:color="auto"/>
              </w:divBdr>
              <w:divsChild>
                <w:div w:id="1346058867">
                  <w:marLeft w:val="0"/>
                  <w:marRight w:val="0"/>
                  <w:marTop w:val="0"/>
                  <w:marBottom w:val="0"/>
                  <w:divBdr>
                    <w:top w:val="none" w:sz="0" w:space="0" w:color="auto"/>
                    <w:left w:val="none" w:sz="0" w:space="0" w:color="auto"/>
                    <w:bottom w:val="none" w:sz="0" w:space="0" w:color="auto"/>
                    <w:right w:val="none" w:sz="0" w:space="0" w:color="auto"/>
                  </w:divBdr>
                  <w:divsChild>
                    <w:div w:id="1346058863">
                      <w:marLeft w:val="0"/>
                      <w:marRight w:val="0"/>
                      <w:marTop w:val="0"/>
                      <w:marBottom w:val="0"/>
                      <w:divBdr>
                        <w:top w:val="none" w:sz="0" w:space="0" w:color="auto"/>
                        <w:left w:val="none" w:sz="0" w:space="0" w:color="auto"/>
                        <w:bottom w:val="none" w:sz="0" w:space="0" w:color="auto"/>
                        <w:right w:val="none" w:sz="0" w:space="0" w:color="auto"/>
                      </w:divBdr>
                    </w:div>
                  </w:divsChild>
                </w:div>
                <w:div w:id="1346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8849">
      <w:marLeft w:val="0"/>
      <w:marRight w:val="0"/>
      <w:marTop w:val="0"/>
      <w:marBottom w:val="0"/>
      <w:divBdr>
        <w:top w:val="none" w:sz="0" w:space="0" w:color="auto"/>
        <w:left w:val="none" w:sz="0" w:space="0" w:color="auto"/>
        <w:bottom w:val="none" w:sz="0" w:space="0" w:color="auto"/>
        <w:right w:val="none" w:sz="0" w:space="0" w:color="auto"/>
      </w:divBdr>
      <w:divsChild>
        <w:div w:id="1346058839">
          <w:marLeft w:val="0"/>
          <w:marRight w:val="0"/>
          <w:marTop w:val="0"/>
          <w:marBottom w:val="0"/>
          <w:divBdr>
            <w:top w:val="none" w:sz="0" w:space="0" w:color="auto"/>
            <w:left w:val="none" w:sz="0" w:space="0" w:color="auto"/>
            <w:bottom w:val="none" w:sz="0" w:space="0" w:color="auto"/>
            <w:right w:val="none" w:sz="0" w:space="0" w:color="auto"/>
          </w:divBdr>
          <w:divsChild>
            <w:div w:id="1346058884">
              <w:marLeft w:val="0"/>
              <w:marRight w:val="0"/>
              <w:marTop w:val="0"/>
              <w:marBottom w:val="0"/>
              <w:divBdr>
                <w:top w:val="none" w:sz="0" w:space="0" w:color="auto"/>
                <w:left w:val="none" w:sz="0" w:space="0" w:color="auto"/>
                <w:bottom w:val="none" w:sz="0" w:space="0" w:color="auto"/>
                <w:right w:val="none" w:sz="0" w:space="0" w:color="auto"/>
              </w:divBdr>
              <w:divsChild>
                <w:div w:id="13460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864">
          <w:marLeft w:val="0"/>
          <w:marRight w:val="0"/>
          <w:marTop w:val="0"/>
          <w:marBottom w:val="0"/>
          <w:divBdr>
            <w:top w:val="none" w:sz="0" w:space="0" w:color="auto"/>
            <w:left w:val="none" w:sz="0" w:space="0" w:color="auto"/>
            <w:bottom w:val="none" w:sz="0" w:space="0" w:color="auto"/>
            <w:right w:val="none" w:sz="0" w:space="0" w:color="auto"/>
          </w:divBdr>
          <w:divsChild>
            <w:div w:id="1346058909">
              <w:marLeft w:val="0"/>
              <w:marRight w:val="0"/>
              <w:marTop w:val="0"/>
              <w:marBottom w:val="0"/>
              <w:divBdr>
                <w:top w:val="none" w:sz="0" w:space="0" w:color="auto"/>
                <w:left w:val="none" w:sz="0" w:space="0" w:color="auto"/>
                <w:bottom w:val="none" w:sz="0" w:space="0" w:color="auto"/>
                <w:right w:val="none" w:sz="0" w:space="0" w:color="auto"/>
              </w:divBdr>
              <w:divsChild>
                <w:div w:id="1346058891">
                  <w:marLeft w:val="0"/>
                  <w:marRight w:val="0"/>
                  <w:marTop w:val="0"/>
                  <w:marBottom w:val="0"/>
                  <w:divBdr>
                    <w:top w:val="none" w:sz="0" w:space="0" w:color="auto"/>
                    <w:left w:val="none" w:sz="0" w:space="0" w:color="auto"/>
                    <w:bottom w:val="none" w:sz="0" w:space="0" w:color="auto"/>
                    <w:right w:val="none" w:sz="0" w:space="0" w:color="auto"/>
                  </w:divBdr>
                  <w:divsChild>
                    <w:div w:id="1346058825">
                      <w:marLeft w:val="0"/>
                      <w:marRight w:val="0"/>
                      <w:marTop w:val="0"/>
                      <w:marBottom w:val="0"/>
                      <w:divBdr>
                        <w:top w:val="none" w:sz="0" w:space="0" w:color="auto"/>
                        <w:left w:val="none" w:sz="0" w:space="0" w:color="auto"/>
                        <w:bottom w:val="none" w:sz="0" w:space="0" w:color="auto"/>
                        <w:right w:val="none" w:sz="0" w:space="0" w:color="auto"/>
                      </w:divBdr>
                    </w:div>
                  </w:divsChild>
                </w:div>
                <w:div w:id="13460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875">
          <w:marLeft w:val="0"/>
          <w:marRight w:val="0"/>
          <w:marTop w:val="0"/>
          <w:marBottom w:val="0"/>
          <w:divBdr>
            <w:top w:val="none" w:sz="0" w:space="0" w:color="auto"/>
            <w:left w:val="none" w:sz="0" w:space="0" w:color="auto"/>
            <w:bottom w:val="none" w:sz="0" w:space="0" w:color="auto"/>
            <w:right w:val="none" w:sz="0" w:space="0" w:color="auto"/>
          </w:divBdr>
        </w:div>
      </w:divsChild>
    </w:div>
    <w:div w:id="1346058856">
      <w:marLeft w:val="0"/>
      <w:marRight w:val="0"/>
      <w:marTop w:val="0"/>
      <w:marBottom w:val="0"/>
      <w:divBdr>
        <w:top w:val="none" w:sz="0" w:space="0" w:color="auto"/>
        <w:left w:val="none" w:sz="0" w:space="0" w:color="auto"/>
        <w:bottom w:val="none" w:sz="0" w:space="0" w:color="auto"/>
        <w:right w:val="none" w:sz="0" w:space="0" w:color="auto"/>
      </w:divBdr>
    </w:div>
    <w:div w:id="1346058857">
      <w:marLeft w:val="0"/>
      <w:marRight w:val="0"/>
      <w:marTop w:val="0"/>
      <w:marBottom w:val="0"/>
      <w:divBdr>
        <w:top w:val="none" w:sz="0" w:space="0" w:color="auto"/>
        <w:left w:val="none" w:sz="0" w:space="0" w:color="auto"/>
        <w:bottom w:val="none" w:sz="0" w:space="0" w:color="auto"/>
        <w:right w:val="none" w:sz="0" w:space="0" w:color="auto"/>
      </w:divBdr>
    </w:div>
    <w:div w:id="1346058869">
      <w:marLeft w:val="0"/>
      <w:marRight w:val="0"/>
      <w:marTop w:val="0"/>
      <w:marBottom w:val="0"/>
      <w:divBdr>
        <w:top w:val="none" w:sz="0" w:space="0" w:color="auto"/>
        <w:left w:val="none" w:sz="0" w:space="0" w:color="auto"/>
        <w:bottom w:val="none" w:sz="0" w:space="0" w:color="auto"/>
        <w:right w:val="none" w:sz="0" w:space="0" w:color="auto"/>
      </w:divBdr>
      <w:divsChild>
        <w:div w:id="1346058844">
          <w:marLeft w:val="0"/>
          <w:marRight w:val="0"/>
          <w:marTop w:val="0"/>
          <w:marBottom w:val="0"/>
          <w:divBdr>
            <w:top w:val="none" w:sz="0" w:space="0" w:color="auto"/>
            <w:left w:val="none" w:sz="0" w:space="0" w:color="auto"/>
            <w:bottom w:val="none" w:sz="0" w:space="0" w:color="auto"/>
            <w:right w:val="none" w:sz="0" w:space="0" w:color="auto"/>
          </w:divBdr>
        </w:div>
        <w:div w:id="1346058854">
          <w:marLeft w:val="0"/>
          <w:marRight w:val="0"/>
          <w:marTop w:val="0"/>
          <w:marBottom w:val="0"/>
          <w:divBdr>
            <w:top w:val="none" w:sz="0" w:space="0" w:color="auto"/>
            <w:left w:val="none" w:sz="0" w:space="0" w:color="auto"/>
            <w:bottom w:val="none" w:sz="0" w:space="0" w:color="auto"/>
            <w:right w:val="none" w:sz="0" w:space="0" w:color="auto"/>
          </w:divBdr>
          <w:divsChild>
            <w:div w:id="1346058879">
              <w:marLeft w:val="0"/>
              <w:marRight w:val="0"/>
              <w:marTop w:val="0"/>
              <w:marBottom w:val="0"/>
              <w:divBdr>
                <w:top w:val="none" w:sz="0" w:space="0" w:color="auto"/>
                <w:left w:val="none" w:sz="0" w:space="0" w:color="auto"/>
                <w:bottom w:val="none" w:sz="0" w:space="0" w:color="auto"/>
                <w:right w:val="none" w:sz="0" w:space="0" w:color="auto"/>
              </w:divBdr>
              <w:divsChild>
                <w:div w:id="13460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874">
          <w:marLeft w:val="0"/>
          <w:marRight w:val="0"/>
          <w:marTop w:val="0"/>
          <w:marBottom w:val="0"/>
          <w:divBdr>
            <w:top w:val="none" w:sz="0" w:space="0" w:color="auto"/>
            <w:left w:val="none" w:sz="0" w:space="0" w:color="auto"/>
            <w:bottom w:val="none" w:sz="0" w:space="0" w:color="auto"/>
            <w:right w:val="none" w:sz="0" w:space="0" w:color="auto"/>
          </w:divBdr>
          <w:divsChild>
            <w:div w:id="1346058842">
              <w:marLeft w:val="0"/>
              <w:marRight w:val="0"/>
              <w:marTop w:val="0"/>
              <w:marBottom w:val="0"/>
              <w:divBdr>
                <w:top w:val="none" w:sz="0" w:space="0" w:color="auto"/>
                <w:left w:val="none" w:sz="0" w:space="0" w:color="auto"/>
                <w:bottom w:val="none" w:sz="0" w:space="0" w:color="auto"/>
                <w:right w:val="none" w:sz="0" w:space="0" w:color="auto"/>
              </w:divBdr>
              <w:divsChild>
                <w:div w:id="1346058835">
                  <w:marLeft w:val="0"/>
                  <w:marRight w:val="0"/>
                  <w:marTop w:val="0"/>
                  <w:marBottom w:val="0"/>
                  <w:divBdr>
                    <w:top w:val="none" w:sz="0" w:space="0" w:color="auto"/>
                    <w:left w:val="none" w:sz="0" w:space="0" w:color="auto"/>
                    <w:bottom w:val="none" w:sz="0" w:space="0" w:color="auto"/>
                    <w:right w:val="none" w:sz="0" w:space="0" w:color="auto"/>
                  </w:divBdr>
                  <w:divsChild>
                    <w:div w:id="1346058834">
                      <w:marLeft w:val="0"/>
                      <w:marRight w:val="0"/>
                      <w:marTop w:val="0"/>
                      <w:marBottom w:val="0"/>
                      <w:divBdr>
                        <w:top w:val="none" w:sz="0" w:space="0" w:color="auto"/>
                        <w:left w:val="none" w:sz="0" w:space="0" w:color="auto"/>
                        <w:bottom w:val="none" w:sz="0" w:space="0" w:color="auto"/>
                        <w:right w:val="none" w:sz="0" w:space="0" w:color="auto"/>
                      </w:divBdr>
                    </w:div>
                  </w:divsChild>
                </w:div>
                <w:div w:id="13460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8873">
      <w:marLeft w:val="0"/>
      <w:marRight w:val="0"/>
      <w:marTop w:val="0"/>
      <w:marBottom w:val="0"/>
      <w:divBdr>
        <w:top w:val="none" w:sz="0" w:space="0" w:color="auto"/>
        <w:left w:val="none" w:sz="0" w:space="0" w:color="auto"/>
        <w:bottom w:val="none" w:sz="0" w:space="0" w:color="auto"/>
        <w:right w:val="none" w:sz="0" w:space="0" w:color="auto"/>
      </w:divBdr>
      <w:divsChild>
        <w:div w:id="1346058836">
          <w:marLeft w:val="0"/>
          <w:marRight w:val="0"/>
          <w:marTop w:val="0"/>
          <w:marBottom w:val="0"/>
          <w:divBdr>
            <w:top w:val="none" w:sz="0" w:space="0" w:color="auto"/>
            <w:left w:val="none" w:sz="0" w:space="0" w:color="auto"/>
            <w:bottom w:val="none" w:sz="0" w:space="0" w:color="auto"/>
            <w:right w:val="none" w:sz="0" w:space="0" w:color="auto"/>
          </w:divBdr>
        </w:div>
        <w:div w:id="1346058855">
          <w:marLeft w:val="0"/>
          <w:marRight w:val="0"/>
          <w:marTop w:val="0"/>
          <w:marBottom w:val="0"/>
          <w:divBdr>
            <w:top w:val="none" w:sz="0" w:space="0" w:color="auto"/>
            <w:left w:val="none" w:sz="0" w:space="0" w:color="auto"/>
            <w:bottom w:val="none" w:sz="0" w:space="0" w:color="auto"/>
            <w:right w:val="none" w:sz="0" w:space="0" w:color="auto"/>
          </w:divBdr>
          <w:divsChild>
            <w:div w:id="1346058897">
              <w:marLeft w:val="0"/>
              <w:marRight w:val="0"/>
              <w:marTop w:val="0"/>
              <w:marBottom w:val="0"/>
              <w:divBdr>
                <w:top w:val="none" w:sz="0" w:space="0" w:color="auto"/>
                <w:left w:val="none" w:sz="0" w:space="0" w:color="auto"/>
                <w:bottom w:val="none" w:sz="0" w:space="0" w:color="auto"/>
                <w:right w:val="none" w:sz="0" w:space="0" w:color="auto"/>
              </w:divBdr>
              <w:divsChild>
                <w:div w:id="13460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880">
          <w:marLeft w:val="0"/>
          <w:marRight w:val="0"/>
          <w:marTop w:val="0"/>
          <w:marBottom w:val="0"/>
          <w:divBdr>
            <w:top w:val="none" w:sz="0" w:space="0" w:color="auto"/>
            <w:left w:val="none" w:sz="0" w:space="0" w:color="auto"/>
            <w:bottom w:val="none" w:sz="0" w:space="0" w:color="auto"/>
            <w:right w:val="none" w:sz="0" w:space="0" w:color="auto"/>
          </w:divBdr>
          <w:divsChild>
            <w:div w:id="1346058900">
              <w:marLeft w:val="0"/>
              <w:marRight w:val="0"/>
              <w:marTop w:val="0"/>
              <w:marBottom w:val="0"/>
              <w:divBdr>
                <w:top w:val="none" w:sz="0" w:space="0" w:color="auto"/>
                <w:left w:val="none" w:sz="0" w:space="0" w:color="auto"/>
                <w:bottom w:val="none" w:sz="0" w:space="0" w:color="auto"/>
                <w:right w:val="none" w:sz="0" w:space="0" w:color="auto"/>
              </w:divBdr>
              <w:divsChild>
                <w:div w:id="1346058889">
                  <w:marLeft w:val="0"/>
                  <w:marRight w:val="0"/>
                  <w:marTop w:val="0"/>
                  <w:marBottom w:val="0"/>
                  <w:divBdr>
                    <w:top w:val="none" w:sz="0" w:space="0" w:color="auto"/>
                    <w:left w:val="none" w:sz="0" w:space="0" w:color="auto"/>
                    <w:bottom w:val="none" w:sz="0" w:space="0" w:color="auto"/>
                    <w:right w:val="none" w:sz="0" w:space="0" w:color="auto"/>
                  </w:divBdr>
                </w:div>
                <w:div w:id="1346058912">
                  <w:marLeft w:val="0"/>
                  <w:marRight w:val="0"/>
                  <w:marTop w:val="0"/>
                  <w:marBottom w:val="0"/>
                  <w:divBdr>
                    <w:top w:val="none" w:sz="0" w:space="0" w:color="auto"/>
                    <w:left w:val="none" w:sz="0" w:space="0" w:color="auto"/>
                    <w:bottom w:val="none" w:sz="0" w:space="0" w:color="auto"/>
                    <w:right w:val="none" w:sz="0" w:space="0" w:color="auto"/>
                  </w:divBdr>
                  <w:divsChild>
                    <w:div w:id="13460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8878">
      <w:marLeft w:val="0"/>
      <w:marRight w:val="0"/>
      <w:marTop w:val="0"/>
      <w:marBottom w:val="0"/>
      <w:divBdr>
        <w:top w:val="none" w:sz="0" w:space="0" w:color="auto"/>
        <w:left w:val="none" w:sz="0" w:space="0" w:color="auto"/>
        <w:bottom w:val="none" w:sz="0" w:space="0" w:color="auto"/>
        <w:right w:val="none" w:sz="0" w:space="0" w:color="auto"/>
      </w:divBdr>
      <w:divsChild>
        <w:div w:id="1346058828">
          <w:marLeft w:val="0"/>
          <w:marRight w:val="0"/>
          <w:marTop w:val="0"/>
          <w:marBottom w:val="0"/>
          <w:divBdr>
            <w:top w:val="none" w:sz="0" w:space="0" w:color="auto"/>
            <w:left w:val="none" w:sz="0" w:space="0" w:color="auto"/>
            <w:bottom w:val="none" w:sz="0" w:space="0" w:color="auto"/>
            <w:right w:val="none" w:sz="0" w:space="0" w:color="auto"/>
          </w:divBdr>
          <w:divsChild>
            <w:div w:id="1346058899">
              <w:marLeft w:val="0"/>
              <w:marRight w:val="0"/>
              <w:marTop w:val="0"/>
              <w:marBottom w:val="0"/>
              <w:divBdr>
                <w:top w:val="none" w:sz="0" w:space="0" w:color="auto"/>
                <w:left w:val="none" w:sz="0" w:space="0" w:color="auto"/>
                <w:bottom w:val="none" w:sz="0" w:space="0" w:color="auto"/>
                <w:right w:val="none" w:sz="0" w:space="0" w:color="auto"/>
              </w:divBdr>
              <w:divsChild>
                <w:div w:id="13460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887">
          <w:marLeft w:val="0"/>
          <w:marRight w:val="0"/>
          <w:marTop w:val="0"/>
          <w:marBottom w:val="0"/>
          <w:divBdr>
            <w:top w:val="none" w:sz="0" w:space="0" w:color="auto"/>
            <w:left w:val="none" w:sz="0" w:space="0" w:color="auto"/>
            <w:bottom w:val="none" w:sz="0" w:space="0" w:color="auto"/>
            <w:right w:val="none" w:sz="0" w:space="0" w:color="auto"/>
          </w:divBdr>
          <w:divsChild>
            <w:div w:id="1346058850">
              <w:marLeft w:val="0"/>
              <w:marRight w:val="0"/>
              <w:marTop w:val="0"/>
              <w:marBottom w:val="0"/>
              <w:divBdr>
                <w:top w:val="none" w:sz="0" w:space="0" w:color="auto"/>
                <w:left w:val="none" w:sz="0" w:space="0" w:color="auto"/>
                <w:bottom w:val="none" w:sz="0" w:space="0" w:color="auto"/>
                <w:right w:val="none" w:sz="0" w:space="0" w:color="auto"/>
              </w:divBdr>
              <w:divsChild>
                <w:div w:id="1346058826">
                  <w:marLeft w:val="-300"/>
                  <w:marRight w:val="0"/>
                  <w:marTop w:val="60"/>
                  <w:marBottom w:val="0"/>
                  <w:divBdr>
                    <w:top w:val="none" w:sz="0" w:space="0" w:color="auto"/>
                    <w:left w:val="none" w:sz="0" w:space="0" w:color="auto"/>
                    <w:bottom w:val="none" w:sz="0" w:space="0" w:color="auto"/>
                    <w:right w:val="none" w:sz="0" w:space="0" w:color="auto"/>
                  </w:divBdr>
                </w:div>
              </w:divsChild>
            </w:div>
            <w:div w:id="1346058861">
              <w:marLeft w:val="0"/>
              <w:marRight w:val="0"/>
              <w:marTop w:val="0"/>
              <w:marBottom w:val="0"/>
              <w:divBdr>
                <w:top w:val="none" w:sz="0" w:space="0" w:color="auto"/>
                <w:left w:val="none" w:sz="0" w:space="0" w:color="auto"/>
                <w:bottom w:val="none" w:sz="0" w:space="0" w:color="auto"/>
                <w:right w:val="none" w:sz="0" w:space="0" w:color="auto"/>
              </w:divBdr>
              <w:divsChild>
                <w:div w:id="1346058846">
                  <w:marLeft w:val="0"/>
                  <w:marRight w:val="0"/>
                  <w:marTop w:val="0"/>
                  <w:marBottom w:val="0"/>
                  <w:divBdr>
                    <w:top w:val="none" w:sz="0" w:space="0" w:color="auto"/>
                    <w:left w:val="none" w:sz="0" w:space="0" w:color="auto"/>
                    <w:bottom w:val="none" w:sz="0" w:space="0" w:color="auto"/>
                    <w:right w:val="none" w:sz="0" w:space="0" w:color="auto"/>
                  </w:divBdr>
                  <w:divsChild>
                    <w:div w:id="1346058911">
                      <w:marLeft w:val="0"/>
                      <w:marRight w:val="0"/>
                      <w:marTop w:val="0"/>
                      <w:marBottom w:val="0"/>
                      <w:divBdr>
                        <w:top w:val="none" w:sz="0" w:space="0" w:color="auto"/>
                        <w:left w:val="none" w:sz="0" w:space="0" w:color="auto"/>
                        <w:bottom w:val="none" w:sz="0" w:space="0" w:color="auto"/>
                        <w:right w:val="none" w:sz="0" w:space="0" w:color="auto"/>
                      </w:divBdr>
                    </w:div>
                  </w:divsChild>
                </w:div>
                <w:div w:id="13460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902">
          <w:marLeft w:val="0"/>
          <w:marRight w:val="0"/>
          <w:marTop w:val="0"/>
          <w:marBottom w:val="0"/>
          <w:divBdr>
            <w:top w:val="none" w:sz="0" w:space="0" w:color="auto"/>
            <w:left w:val="none" w:sz="0" w:space="0" w:color="auto"/>
            <w:bottom w:val="none" w:sz="0" w:space="0" w:color="auto"/>
            <w:right w:val="none" w:sz="0" w:space="0" w:color="auto"/>
          </w:divBdr>
        </w:div>
      </w:divsChild>
    </w:div>
    <w:div w:id="1346058886">
      <w:marLeft w:val="0"/>
      <w:marRight w:val="0"/>
      <w:marTop w:val="0"/>
      <w:marBottom w:val="0"/>
      <w:divBdr>
        <w:top w:val="none" w:sz="0" w:space="0" w:color="auto"/>
        <w:left w:val="none" w:sz="0" w:space="0" w:color="auto"/>
        <w:bottom w:val="none" w:sz="0" w:space="0" w:color="auto"/>
        <w:right w:val="none" w:sz="0" w:space="0" w:color="auto"/>
      </w:divBdr>
      <w:divsChild>
        <w:div w:id="1346058871">
          <w:marLeft w:val="0"/>
          <w:marRight w:val="0"/>
          <w:marTop w:val="0"/>
          <w:marBottom w:val="0"/>
          <w:divBdr>
            <w:top w:val="none" w:sz="0" w:space="0" w:color="auto"/>
            <w:left w:val="none" w:sz="0" w:space="0" w:color="auto"/>
            <w:bottom w:val="none" w:sz="0" w:space="0" w:color="auto"/>
            <w:right w:val="none" w:sz="0" w:space="0" w:color="auto"/>
          </w:divBdr>
        </w:div>
        <w:div w:id="1346058882">
          <w:marLeft w:val="0"/>
          <w:marRight w:val="0"/>
          <w:marTop w:val="0"/>
          <w:marBottom w:val="0"/>
          <w:divBdr>
            <w:top w:val="none" w:sz="0" w:space="0" w:color="auto"/>
            <w:left w:val="none" w:sz="0" w:space="0" w:color="auto"/>
            <w:bottom w:val="none" w:sz="0" w:space="0" w:color="auto"/>
            <w:right w:val="none" w:sz="0" w:space="0" w:color="auto"/>
          </w:divBdr>
          <w:divsChild>
            <w:div w:id="1346058858">
              <w:marLeft w:val="0"/>
              <w:marRight w:val="0"/>
              <w:marTop w:val="0"/>
              <w:marBottom w:val="0"/>
              <w:divBdr>
                <w:top w:val="none" w:sz="0" w:space="0" w:color="auto"/>
                <w:left w:val="none" w:sz="0" w:space="0" w:color="auto"/>
                <w:bottom w:val="none" w:sz="0" w:space="0" w:color="auto"/>
                <w:right w:val="none" w:sz="0" w:space="0" w:color="auto"/>
              </w:divBdr>
              <w:divsChild>
                <w:div w:id="1346058860">
                  <w:marLeft w:val="-300"/>
                  <w:marRight w:val="0"/>
                  <w:marTop w:val="60"/>
                  <w:marBottom w:val="0"/>
                  <w:divBdr>
                    <w:top w:val="none" w:sz="0" w:space="0" w:color="auto"/>
                    <w:left w:val="none" w:sz="0" w:space="0" w:color="auto"/>
                    <w:bottom w:val="none" w:sz="0" w:space="0" w:color="auto"/>
                    <w:right w:val="none" w:sz="0" w:space="0" w:color="auto"/>
                  </w:divBdr>
                </w:div>
              </w:divsChild>
            </w:div>
            <w:div w:id="1346058896">
              <w:marLeft w:val="0"/>
              <w:marRight w:val="0"/>
              <w:marTop w:val="0"/>
              <w:marBottom w:val="0"/>
              <w:divBdr>
                <w:top w:val="none" w:sz="0" w:space="0" w:color="auto"/>
                <w:left w:val="none" w:sz="0" w:space="0" w:color="auto"/>
                <w:bottom w:val="none" w:sz="0" w:space="0" w:color="auto"/>
                <w:right w:val="none" w:sz="0" w:space="0" w:color="auto"/>
              </w:divBdr>
              <w:divsChild>
                <w:div w:id="1346058837">
                  <w:marLeft w:val="0"/>
                  <w:marRight w:val="0"/>
                  <w:marTop w:val="0"/>
                  <w:marBottom w:val="0"/>
                  <w:divBdr>
                    <w:top w:val="none" w:sz="0" w:space="0" w:color="auto"/>
                    <w:left w:val="none" w:sz="0" w:space="0" w:color="auto"/>
                    <w:bottom w:val="none" w:sz="0" w:space="0" w:color="auto"/>
                    <w:right w:val="none" w:sz="0" w:space="0" w:color="auto"/>
                  </w:divBdr>
                  <w:divsChild>
                    <w:div w:id="1346058859">
                      <w:marLeft w:val="0"/>
                      <w:marRight w:val="0"/>
                      <w:marTop w:val="0"/>
                      <w:marBottom w:val="0"/>
                      <w:divBdr>
                        <w:top w:val="none" w:sz="0" w:space="0" w:color="auto"/>
                        <w:left w:val="none" w:sz="0" w:space="0" w:color="auto"/>
                        <w:bottom w:val="none" w:sz="0" w:space="0" w:color="auto"/>
                        <w:right w:val="none" w:sz="0" w:space="0" w:color="auto"/>
                      </w:divBdr>
                    </w:div>
                  </w:divsChild>
                </w:div>
                <w:div w:id="13460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892">
          <w:marLeft w:val="0"/>
          <w:marRight w:val="0"/>
          <w:marTop w:val="0"/>
          <w:marBottom w:val="0"/>
          <w:divBdr>
            <w:top w:val="none" w:sz="0" w:space="0" w:color="auto"/>
            <w:left w:val="none" w:sz="0" w:space="0" w:color="auto"/>
            <w:bottom w:val="none" w:sz="0" w:space="0" w:color="auto"/>
            <w:right w:val="none" w:sz="0" w:space="0" w:color="auto"/>
          </w:divBdr>
          <w:divsChild>
            <w:div w:id="1346058862">
              <w:marLeft w:val="0"/>
              <w:marRight w:val="0"/>
              <w:marTop w:val="0"/>
              <w:marBottom w:val="0"/>
              <w:divBdr>
                <w:top w:val="none" w:sz="0" w:space="0" w:color="auto"/>
                <w:left w:val="none" w:sz="0" w:space="0" w:color="auto"/>
                <w:bottom w:val="none" w:sz="0" w:space="0" w:color="auto"/>
                <w:right w:val="none" w:sz="0" w:space="0" w:color="auto"/>
              </w:divBdr>
              <w:divsChild>
                <w:div w:id="13460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8904">
      <w:marLeft w:val="0"/>
      <w:marRight w:val="0"/>
      <w:marTop w:val="0"/>
      <w:marBottom w:val="0"/>
      <w:divBdr>
        <w:top w:val="none" w:sz="0" w:space="0" w:color="auto"/>
        <w:left w:val="none" w:sz="0" w:space="0" w:color="auto"/>
        <w:bottom w:val="none" w:sz="0" w:space="0" w:color="auto"/>
        <w:right w:val="none" w:sz="0" w:space="0" w:color="auto"/>
      </w:divBdr>
      <w:divsChild>
        <w:div w:id="1346058833">
          <w:marLeft w:val="0"/>
          <w:marRight w:val="0"/>
          <w:marTop w:val="0"/>
          <w:marBottom w:val="0"/>
          <w:divBdr>
            <w:top w:val="none" w:sz="0" w:space="0" w:color="auto"/>
            <w:left w:val="none" w:sz="0" w:space="0" w:color="auto"/>
            <w:bottom w:val="none" w:sz="0" w:space="0" w:color="auto"/>
            <w:right w:val="none" w:sz="0" w:space="0" w:color="auto"/>
          </w:divBdr>
          <w:divsChild>
            <w:div w:id="1346058845">
              <w:marLeft w:val="0"/>
              <w:marRight w:val="0"/>
              <w:marTop w:val="0"/>
              <w:marBottom w:val="0"/>
              <w:divBdr>
                <w:top w:val="none" w:sz="0" w:space="0" w:color="auto"/>
                <w:left w:val="none" w:sz="0" w:space="0" w:color="auto"/>
                <w:bottom w:val="none" w:sz="0" w:space="0" w:color="auto"/>
                <w:right w:val="none" w:sz="0" w:space="0" w:color="auto"/>
              </w:divBdr>
              <w:divsChild>
                <w:div w:id="1346058893">
                  <w:marLeft w:val="0"/>
                  <w:marRight w:val="0"/>
                  <w:marTop w:val="0"/>
                  <w:marBottom w:val="0"/>
                  <w:divBdr>
                    <w:top w:val="none" w:sz="0" w:space="0" w:color="auto"/>
                    <w:left w:val="none" w:sz="0" w:space="0" w:color="auto"/>
                    <w:bottom w:val="none" w:sz="0" w:space="0" w:color="auto"/>
                    <w:right w:val="none" w:sz="0" w:space="0" w:color="auto"/>
                  </w:divBdr>
                </w:div>
                <w:div w:id="1346058903">
                  <w:marLeft w:val="0"/>
                  <w:marRight w:val="0"/>
                  <w:marTop w:val="0"/>
                  <w:marBottom w:val="0"/>
                  <w:divBdr>
                    <w:top w:val="none" w:sz="0" w:space="0" w:color="auto"/>
                    <w:left w:val="none" w:sz="0" w:space="0" w:color="auto"/>
                    <w:bottom w:val="none" w:sz="0" w:space="0" w:color="auto"/>
                    <w:right w:val="none" w:sz="0" w:space="0" w:color="auto"/>
                  </w:divBdr>
                  <w:divsChild>
                    <w:div w:id="13460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8866">
          <w:marLeft w:val="0"/>
          <w:marRight w:val="0"/>
          <w:marTop w:val="0"/>
          <w:marBottom w:val="0"/>
          <w:divBdr>
            <w:top w:val="none" w:sz="0" w:space="0" w:color="auto"/>
            <w:left w:val="none" w:sz="0" w:space="0" w:color="auto"/>
            <w:bottom w:val="none" w:sz="0" w:space="0" w:color="auto"/>
            <w:right w:val="none" w:sz="0" w:space="0" w:color="auto"/>
          </w:divBdr>
        </w:div>
        <w:div w:id="1346058895">
          <w:marLeft w:val="0"/>
          <w:marRight w:val="0"/>
          <w:marTop w:val="0"/>
          <w:marBottom w:val="0"/>
          <w:divBdr>
            <w:top w:val="none" w:sz="0" w:space="0" w:color="auto"/>
            <w:left w:val="none" w:sz="0" w:space="0" w:color="auto"/>
            <w:bottom w:val="none" w:sz="0" w:space="0" w:color="auto"/>
            <w:right w:val="none" w:sz="0" w:space="0" w:color="auto"/>
          </w:divBdr>
          <w:divsChild>
            <w:div w:id="1346058885">
              <w:marLeft w:val="0"/>
              <w:marRight w:val="0"/>
              <w:marTop w:val="0"/>
              <w:marBottom w:val="0"/>
              <w:divBdr>
                <w:top w:val="none" w:sz="0" w:space="0" w:color="auto"/>
                <w:left w:val="none" w:sz="0" w:space="0" w:color="auto"/>
                <w:bottom w:val="none" w:sz="0" w:space="0" w:color="auto"/>
                <w:right w:val="none" w:sz="0" w:space="0" w:color="auto"/>
              </w:divBdr>
              <w:divsChild>
                <w:div w:id="13460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8905">
      <w:marLeft w:val="0"/>
      <w:marRight w:val="0"/>
      <w:marTop w:val="0"/>
      <w:marBottom w:val="0"/>
      <w:divBdr>
        <w:top w:val="none" w:sz="0" w:space="0" w:color="auto"/>
        <w:left w:val="none" w:sz="0" w:space="0" w:color="auto"/>
        <w:bottom w:val="none" w:sz="0" w:space="0" w:color="auto"/>
        <w:right w:val="none" w:sz="0" w:space="0" w:color="auto"/>
      </w:divBdr>
      <w:divsChild>
        <w:div w:id="1346058876">
          <w:marLeft w:val="0"/>
          <w:marRight w:val="0"/>
          <w:marTop w:val="0"/>
          <w:marBottom w:val="0"/>
          <w:divBdr>
            <w:top w:val="none" w:sz="0" w:space="0" w:color="auto"/>
            <w:left w:val="none" w:sz="0" w:space="0" w:color="auto"/>
            <w:bottom w:val="none" w:sz="0" w:space="0" w:color="auto"/>
            <w:right w:val="none" w:sz="0" w:space="0" w:color="auto"/>
          </w:divBdr>
          <w:divsChild>
            <w:div w:id="1346058888">
              <w:marLeft w:val="0"/>
              <w:marRight w:val="0"/>
              <w:marTop w:val="0"/>
              <w:marBottom w:val="0"/>
              <w:divBdr>
                <w:top w:val="none" w:sz="0" w:space="0" w:color="auto"/>
                <w:left w:val="none" w:sz="0" w:space="0" w:color="auto"/>
                <w:bottom w:val="none" w:sz="0" w:space="0" w:color="auto"/>
                <w:right w:val="none" w:sz="0" w:space="0" w:color="auto"/>
              </w:divBdr>
              <w:divsChild>
                <w:div w:id="13460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890">
          <w:marLeft w:val="0"/>
          <w:marRight w:val="0"/>
          <w:marTop w:val="0"/>
          <w:marBottom w:val="0"/>
          <w:divBdr>
            <w:top w:val="none" w:sz="0" w:space="0" w:color="auto"/>
            <w:left w:val="none" w:sz="0" w:space="0" w:color="auto"/>
            <w:bottom w:val="none" w:sz="0" w:space="0" w:color="auto"/>
            <w:right w:val="none" w:sz="0" w:space="0" w:color="auto"/>
          </w:divBdr>
        </w:div>
        <w:div w:id="1346058908">
          <w:marLeft w:val="0"/>
          <w:marRight w:val="0"/>
          <w:marTop w:val="0"/>
          <w:marBottom w:val="0"/>
          <w:divBdr>
            <w:top w:val="none" w:sz="0" w:space="0" w:color="auto"/>
            <w:left w:val="none" w:sz="0" w:space="0" w:color="auto"/>
            <w:bottom w:val="none" w:sz="0" w:space="0" w:color="auto"/>
            <w:right w:val="none" w:sz="0" w:space="0" w:color="auto"/>
          </w:divBdr>
          <w:divsChild>
            <w:div w:id="1346058851">
              <w:marLeft w:val="0"/>
              <w:marRight w:val="0"/>
              <w:marTop w:val="0"/>
              <w:marBottom w:val="0"/>
              <w:divBdr>
                <w:top w:val="none" w:sz="0" w:space="0" w:color="auto"/>
                <w:left w:val="none" w:sz="0" w:space="0" w:color="auto"/>
                <w:bottom w:val="none" w:sz="0" w:space="0" w:color="auto"/>
                <w:right w:val="none" w:sz="0" w:space="0" w:color="auto"/>
              </w:divBdr>
              <w:divsChild>
                <w:div w:id="1346058827">
                  <w:marLeft w:val="0"/>
                  <w:marRight w:val="0"/>
                  <w:marTop w:val="0"/>
                  <w:marBottom w:val="0"/>
                  <w:divBdr>
                    <w:top w:val="none" w:sz="0" w:space="0" w:color="auto"/>
                    <w:left w:val="none" w:sz="0" w:space="0" w:color="auto"/>
                    <w:bottom w:val="none" w:sz="0" w:space="0" w:color="auto"/>
                    <w:right w:val="none" w:sz="0" w:space="0" w:color="auto"/>
                  </w:divBdr>
                  <w:divsChild>
                    <w:div w:id="1346058883">
                      <w:marLeft w:val="0"/>
                      <w:marRight w:val="0"/>
                      <w:marTop w:val="0"/>
                      <w:marBottom w:val="0"/>
                      <w:divBdr>
                        <w:top w:val="none" w:sz="0" w:space="0" w:color="auto"/>
                        <w:left w:val="none" w:sz="0" w:space="0" w:color="auto"/>
                        <w:bottom w:val="none" w:sz="0" w:space="0" w:color="auto"/>
                        <w:right w:val="none" w:sz="0" w:space="0" w:color="auto"/>
                      </w:divBdr>
                    </w:div>
                  </w:divsChild>
                </w:div>
                <w:div w:id="13460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3B412359.dotm</Template>
  <TotalTime>0</TotalTime>
  <Pages>3</Pages>
  <Words>1168</Words>
  <Characters>7363</Characters>
  <Application>Microsoft Office Word</Application>
  <DocSecurity>0</DocSecurity>
  <Lines>61</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2018-04-30T07:13:00Z</dcterms:created>
  <dcterms:modified xsi:type="dcterms:W3CDTF">2018-04-30T07:13:00Z</dcterms:modified>
</cp:coreProperties>
</file>