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5A" w:rsidRPr="00F1355A" w:rsidRDefault="00F1355A" w:rsidP="00F1355A">
      <w:pPr>
        <w:tabs>
          <w:tab w:val="center" w:pos="4536"/>
          <w:tab w:val="right" w:pos="9072"/>
        </w:tabs>
        <w:jc w:val="right"/>
        <w:rPr>
          <w:rFonts w:ascii="Arial" w:hAnsi="Arial" w:cs="Arial"/>
          <w:sz w:val="24"/>
          <w:szCs w:val="24"/>
          <w:lang w:eastAsia="de-DE"/>
        </w:rPr>
      </w:pPr>
      <w:bookmarkStart w:id="0" w:name="_GoBack"/>
      <w:bookmarkEnd w:id="0"/>
      <w:r w:rsidRPr="00F1355A">
        <w:rPr>
          <w:rFonts w:ascii="Arial" w:hAnsi="Arial" w:cs="Arial"/>
          <w:b/>
          <w:bCs/>
          <w:sz w:val="40"/>
          <w:szCs w:val="40"/>
          <w:lang w:eastAsia="de-DE"/>
        </w:rPr>
        <w:t>DASV</w:t>
      </w:r>
    </w:p>
    <w:p w:rsidR="00F1355A" w:rsidRPr="00F1355A" w:rsidRDefault="00F1355A" w:rsidP="00F1355A">
      <w:pPr>
        <w:jc w:val="right"/>
        <w:rPr>
          <w:rFonts w:ascii="Arial" w:hAnsi="Arial" w:cs="Arial"/>
          <w:sz w:val="20"/>
          <w:szCs w:val="20"/>
          <w:lang w:eastAsia="de-DE"/>
        </w:rPr>
      </w:pPr>
      <w:bookmarkStart w:id="1" w:name="2"/>
      <w:bookmarkStart w:id="2" w:name="9"/>
      <w:bookmarkEnd w:id="1"/>
      <w:bookmarkEnd w:id="2"/>
      <w:r w:rsidRPr="00F1355A">
        <w:rPr>
          <w:rFonts w:ascii="Arial" w:hAnsi="Arial" w:cs="Arial"/>
          <w:sz w:val="20"/>
          <w:szCs w:val="20"/>
          <w:lang w:eastAsia="de-DE"/>
        </w:rPr>
        <w:t>Deutsche Anwalts- und</w:t>
      </w:r>
    </w:p>
    <w:p w:rsidR="00F1355A" w:rsidRPr="00F1355A" w:rsidRDefault="00F1355A" w:rsidP="00F1355A">
      <w:pPr>
        <w:jc w:val="right"/>
        <w:rPr>
          <w:rFonts w:ascii="Arial" w:hAnsi="Arial" w:cs="Arial"/>
          <w:sz w:val="20"/>
          <w:szCs w:val="20"/>
          <w:lang w:eastAsia="de-DE"/>
        </w:rPr>
      </w:pPr>
      <w:r w:rsidRPr="00F1355A">
        <w:rPr>
          <w:rFonts w:ascii="Arial" w:hAnsi="Arial" w:cs="Arial"/>
          <w:sz w:val="20"/>
          <w:szCs w:val="20"/>
          <w:lang w:eastAsia="de-DE"/>
        </w:rPr>
        <w:t>Steuerberatervereinigung</w:t>
      </w:r>
    </w:p>
    <w:p w:rsidR="00F1355A" w:rsidRPr="00F1355A" w:rsidRDefault="00F1355A" w:rsidP="00F1355A">
      <w:pPr>
        <w:jc w:val="right"/>
        <w:rPr>
          <w:rFonts w:ascii="Arial" w:hAnsi="Arial" w:cs="Arial"/>
          <w:sz w:val="20"/>
          <w:szCs w:val="20"/>
          <w:lang w:eastAsia="de-DE"/>
        </w:rPr>
      </w:pPr>
      <w:r w:rsidRPr="00F1355A">
        <w:rPr>
          <w:rFonts w:ascii="Arial" w:hAnsi="Arial" w:cs="Arial"/>
          <w:sz w:val="20"/>
          <w:szCs w:val="20"/>
          <w:lang w:eastAsia="de-DE"/>
        </w:rPr>
        <w:t>für die mittelständische</w:t>
      </w:r>
    </w:p>
    <w:p w:rsidR="00F1355A" w:rsidRPr="00F1355A" w:rsidRDefault="00F1355A" w:rsidP="00F1355A">
      <w:pPr>
        <w:jc w:val="right"/>
        <w:rPr>
          <w:rFonts w:ascii="Arial" w:hAnsi="Arial" w:cs="Arial"/>
          <w:sz w:val="20"/>
          <w:szCs w:val="20"/>
          <w:lang w:eastAsia="de-DE"/>
        </w:rPr>
      </w:pPr>
      <w:r w:rsidRPr="00F1355A">
        <w:rPr>
          <w:rFonts w:ascii="Arial" w:hAnsi="Arial" w:cs="Arial"/>
          <w:sz w:val="20"/>
          <w:szCs w:val="20"/>
          <w:lang w:eastAsia="de-DE"/>
        </w:rPr>
        <w:t>Wirtschaft e. V.</w:t>
      </w:r>
    </w:p>
    <w:p w:rsidR="00F1355A" w:rsidRPr="00F1355A" w:rsidRDefault="00F1355A" w:rsidP="00F1355A">
      <w:pPr>
        <w:jc w:val="center"/>
        <w:rPr>
          <w:rFonts w:ascii="Arial" w:hAnsi="Arial" w:cs="Arial"/>
          <w:b/>
          <w:bCs/>
          <w:sz w:val="20"/>
          <w:szCs w:val="20"/>
        </w:rPr>
      </w:pPr>
    </w:p>
    <w:p w:rsidR="00F1355A" w:rsidRPr="00F1355A" w:rsidRDefault="00F1355A" w:rsidP="00F1355A">
      <w:pPr>
        <w:jc w:val="center"/>
        <w:rPr>
          <w:rFonts w:ascii="Arial" w:hAnsi="Arial" w:cs="Arial"/>
          <w:b/>
          <w:bCs/>
          <w:sz w:val="20"/>
          <w:szCs w:val="20"/>
        </w:rPr>
      </w:pPr>
      <w:r w:rsidRPr="00F1355A">
        <w:rPr>
          <w:rFonts w:ascii="Arial" w:hAnsi="Arial" w:cs="Arial"/>
          <w:b/>
          <w:bCs/>
          <w:sz w:val="20"/>
          <w:szCs w:val="20"/>
        </w:rPr>
        <w:t>10 Urteile, die Ihre Leser interessieren könnten</w:t>
      </w:r>
    </w:p>
    <w:p w:rsidR="00F1355A" w:rsidRPr="00F1355A" w:rsidRDefault="00F1355A" w:rsidP="00F1355A">
      <w:pPr>
        <w:jc w:val="center"/>
        <w:rPr>
          <w:rFonts w:ascii="Arial" w:hAnsi="Arial" w:cs="Arial"/>
          <w:b/>
          <w:bCs/>
          <w:sz w:val="20"/>
          <w:szCs w:val="20"/>
        </w:rPr>
      </w:pPr>
    </w:p>
    <w:p w:rsidR="00F1355A" w:rsidRPr="00F1355A" w:rsidRDefault="00F1355A" w:rsidP="00F1355A">
      <w:pPr>
        <w:jc w:val="center"/>
        <w:rPr>
          <w:rFonts w:ascii="Arial" w:hAnsi="Arial" w:cs="Arial"/>
          <w:sz w:val="20"/>
          <w:szCs w:val="20"/>
        </w:rPr>
      </w:pPr>
      <w:r w:rsidRPr="00F1355A">
        <w:rPr>
          <w:rFonts w:ascii="Arial" w:hAnsi="Arial" w:cs="Arial"/>
          <w:sz w:val="20"/>
          <w:szCs w:val="20"/>
        </w:rPr>
        <w:t>zusammengestellt von Rechtsanwalt/Fachanwalt für Arbeitsrecht u. Fachanwalt für Erbrecht</w:t>
      </w:r>
    </w:p>
    <w:p w:rsidR="00F1355A" w:rsidRPr="00F1355A" w:rsidRDefault="00F1355A" w:rsidP="00F1355A">
      <w:pPr>
        <w:ind w:right="540"/>
        <w:jc w:val="center"/>
        <w:rPr>
          <w:rFonts w:ascii="Arial" w:hAnsi="Arial" w:cs="Arial"/>
          <w:bCs/>
          <w:sz w:val="20"/>
          <w:szCs w:val="20"/>
        </w:rPr>
      </w:pPr>
      <w:r w:rsidRPr="00F1355A">
        <w:rPr>
          <w:rFonts w:ascii="Arial" w:hAnsi="Arial" w:cs="Arial"/>
          <w:bCs/>
          <w:sz w:val="20"/>
          <w:szCs w:val="20"/>
        </w:rPr>
        <w:t>Michael Henn, Stuttgart</w:t>
      </w:r>
    </w:p>
    <w:p w:rsidR="005A3FA7" w:rsidRPr="00F1355A" w:rsidRDefault="005A3FA7" w:rsidP="00DA3244">
      <w:pPr>
        <w:jc w:val="both"/>
        <w:rPr>
          <w:rFonts w:ascii="Arial" w:hAnsi="Arial" w:cs="Arial"/>
          <w:b/>
          <w:bCs/>
          <w:sz w:val="20"/>
          <w:szCs w:val="20"/>
        </w:rPr>
      </w:pPr>
    </w:p>
    <w:p w:rsidR="005A3FA7" w:rsidRPr="005F36B4" w:rsidRDefault="00F1355A" w:rsidP="005F36B4">
      <w:pPr>
        <w:jc w:val="center"/>
        <w:rPr>
          <w:rFonts w:ascii="Arial" w:hAnsi="Arial" w:cs="Arial"/>
          <w:b/>
          <w:bCs/>
          <w:sz w:val="20"/>
          <w:szCs w:val="20"/>
        </w:rPr>
      </w:pPr>
      <w:r w:rsidRPr="005F36B4">
        <w:rPr>
          <w:rFonts w:ascii="Arial" w:hAnsi="Arial" w:cs="Arial"/>
          <w:b/>
          <w:bCs/>
          <w:sz w:val="20"/>
          <w:szCs w:val="20"/>
        </w:rPr>
        <w:t>I.</w:t>
      </w:r>
    </w:p>
    <w:p w:rsidR="005A3FA7" w:rsidRPr="005F36B4" w:rsidRDefault="005A3FA7" w:rsidP="005F36B4">
      <w:pPr>
        <w:pStyle w:val="berschrift3"/>
        <w:spacing w:after="0" w:line="240" w:lineRule="auto"/>
        <w:jc w:val="center"/>
        <w:rPr>
          <w:rFonts w:ascii="Arial" w:hAnsi="Arial" w:cs="Arial"/>
          <w:sz w:val="20"/>
          <w:szCs w:val="20"/>
        </w:rPr>
      </w:pPr>
      <w:r w:rsidRPr="005F36B4">
        <w:rPr>
          <w:rFonts w:ascii="Arial" w:hAnsi="Arial" w:cs="Arial"/>
          <w:sz w:val="20"/>
          <w:szCs w:val="20"/>
        </w:rPr>
        <w:t>Unwirksamkeit von Schriftformheilungsklauseln</w:t>
      </w:r>
    </w:p>
    <w:p w:rsidR="005A3FA7" w:rsidRPr="005F36B4" w:rsidRDefault="00F1355A" w:rsidP="005F36B4">
      <w:pPr>
        <w:pStyle w:val="berschrift4"/>
        <w:spacing w:after="0"/>
        <w:jc w:val="center"/>
        <w:rPr>
          <w:rFonts w:ascii="Arial" w:hAnsi="Arial" w:cs="Arial"/>
          <w:color w:val="auto"/>
          <w:sz w:val="20"/>
          <w:szCs w:val="20"/>
        </w:rPr>
      </w:pPr>
      <w:r w:rsidRPr="005F36B4">
        <w:rPr>
          <w:rFonts w:ascii="Arial" w:hAnsi="Arial" w:cs="Arial"/>
          <w:color w:val="auto"/>
          <w:sz w:val="20"/>
          <w:szCs w:val="20"/>
        </w:rPr>
        <w:t>BGH, Urteil vom 11.04.2018, Az.</w:t>
      </w:r>
      <w:r w:rsidR="005A3FA7" w:rsidRPr="005F36B4">
        <w:rPr>
          <w:rFonts w:ascii="Arial" w:hAnsi="Arial" w:cs="Arial"/>
          <w:color w:val="auto"/>
          <w:sz w:val="20"/>
          <w:szCs w:val="20"/>
        </w:rPr>
        <w:t xml:space="preserve"> XII ZR 43/17</w:t>
      </w:r>
    </w:p>
    <w:p w:rsidR="005F36B4" w:rsidRPr="005F36B4" w:rsidRDefault="005F36B4" w:rsidP="005F36B4">
      <w:pPr>
        <w:jc w:val="both"/>
        <w:rPr>
          <w:rFonts w:ascii="Arial" w:hAnsi="Arial" w:cs="Arial"/>
          <w:sz w:val="20"/>
          <w:szCs w:val="20"/>
        </w:rPr>
      </w:pPr>
    </w:p>
    <w:p w:rsidR="00F1355A" w:rsidRPr="005F36B4" w:rsidRDefault="005A3FA7" w:rsidP="005F36B4">
      <w:pPr>
        <w:jc w:val="both"/>
        <w:rPr>
          <w:rFonts w:ascii="Arial" w:hAnsi="Arial" w:cs="Arial"/>
          <w:sz w:val="20"/>
          <w:szCs w:val="20"/>
        </w:rPr>
      </w:pPr>
      <w:r w:rsidRPr="005F36B4">
        <w:rPr>
          <w:rFonts w:ascii="Arial" w:hAnsi="Arial" w:cs="Arial"/>
          <w:sz w:val="20"/>
          <w:szCs w:val="20"/>
        </w:rPr>
        <w:t>a) Die Änderung der Miete, die auf einer Vertragsklausel beruht, wonach eine Vertragspartei bei Vorliegen einer bestimmten Indexänderung eine Neufestsetzung verlangen kann, unterfällt - anders als bei einer Anpassungsautomatik oder einem einseitigen Änderungsrecht - dem Schriftformerfordernis des § 550 Satz 1 BGB.</w:t>
      </w:r>
    </w:p>
    <w:p w:rsidR="00F1355A" w:rsidRPr="005F36B4" w:rsidRDefault="005A3FA7" w:rsidP="005F36B4">
      <w:pPr>
        <w:jc w:val="both"/>
        <w:rPr>
          <w:rFonts w:ascii="Arial" w:hAnsi="Arial" w:cs="Arial"/>
          <w:sz w:val="20"/>
          <w:szCs w:val="20"/>
        </w:rPr>
      </w:pPr>
      <w:r w:rsidRPr="005F36B4">
        <w:rPr>
          <w:rFonts w:ascii="Arial" w:hAnsi="Arial" w:cs="Arial"/>
          <w:sz w:val="20"/>
          <w:szCs w:val="20"/>
        </w:rPr>
        <w:t>b) Die vertragliche Änderung der Miete stellt stets eine wesentliche und - jedenfalls soweit sie für mehr als ein Jahr erfolgt und nicht jederzeit vom Vermieter widerrufen werden kann - dem Formzwang des § 550 Satz 1 BGB unterfallende Vertragsänderung dar (im Anschluss an Senatsurteile vom 25. November 2015 - XII ZR 114/14 - NJW 2016, 311 und vom 27. September 2017 - XII ZR 114/16 - NJW 2017, 3772, zur Veröffentlichung in BGHZ bestimmt).</w:t>
      </w:r>
    </w:p>
    <w:p w:rsidR="00F1355A" w:rsidRPr="005F36B4" w:rsidRDefault="005A3FA7" w:rsidP="005F36B4">
      <w:pPr>
        <w:jc w:val="both"/>
        <w:rPr>
          <w:rFonts w:ascii="Arial" w:hAnsi="Arial" w:cs="Arial"/>
          <w:sz w:val="20"/>
          <w:szCs w:val="20"/>
        </w:rPr>
      </w:pPr>
      <w:r w:rsidRPr="005F36B4">
        <w:rPr>
          <w:rFonts w:ascii="Arial" w:hAnsi="Arial" w:cs="Arial"/>
          <w:sz w:val="20"/>
          <w:szCs w:val="20"/>
        </w:rPr>
        <w:t>c) Sogenannte Schriftformheilungsklauseln sind mit der nicht abdingbaren Vorschrift des § 550 BGB unvereinbar und daher unwirksam. Sie können deshalb für sich genommen eine Vertragspartei nicht daran hindern, einen Mietvertrag unter Berufung auf einen Schriftformmangel ordentlich zu kündigen (im Anschluss an Senatsurteil vom 27. September 2017 - XII ZR 114/16 NJW 2017, 3772, zur Veröffentlichung in BGHZ bestimmt).</w:t>
      </w:r>
    </w:p>
    <w:p w:rsidR="005A3FA7" w:rsidRPr="005F36B4" w:rsidRDefault="005A3FA7" w:rsidP="005F36B4">
      <w:pPr>
        <w:jc w:val="both"/>
        <w:rPr>
          <w:rFonts w:ascii="Arial" w:hAnsi="Arial" w:cs="Arial"/>
          <w:bCs/>
          <w:sz w:val="20"/>
          <w:szCs w:val="20"/>
        </w:rPr>
      </w:pPr>
      <w:r w:rsidRPr="005F36B4">
        <w:rPr>
          <w:rFonts w:ascii="Arial" w:hAnsi="Arial" w:cs="Arial"/>
          <w:sz w:val="20"/>
          <w:szCs w:val="20"/>
        </w:rPr>
        <w:t>d) Die Umdeutung einer fristlosen in eine ordentliche Mietkündigung ist zulässig und angebracht, wenn - für den Kündigungsgegner erkennbar - nach dem Willen des Kündigenden das Vertragsverhältnis in jedem Falle zum nächstmöglichen Termin beendet werden soll (im Anschluss an Senatsurteil vom 24. Juli 2013 - XII ZR 104/12 - NJW 2013, 3361).</w:t>
      </w:r>
    </w:p>
    <w:p w:rsidR="005A3FA7" w:rsidRPr="005F36B4" w:rsidRDefault="005A3FA7" w:rsidP="005F36B4">
      <w:pPr>
        <w:jc w:val="both"/>
        <w:rPr>
          <w:rFonts w:ascii="Arial" w:hAnsi="Arial" w:cs="Arial"/>
          <w:b/>
          <w:bCs/>
          <w:sz w:val="20"/>
          <w:szCs w:val="20"/>
        </w:rPr>
      </w:pPr>
    </w:p>
    <w:p w:rsidR="005A3FA7" w:rsidRPr="005F36B4" w:rsidRDefault="00F1355A" w:rsidP="005F36B4">
      <w:pPr>
        <w:jc w:val="center"/>
        <w:rPr>
          <w:rFonts w:ascii="Arial" w:hAnsi="Arial" w:cs="Arial"/>
          <w:b/>
          <w:bCs/>
          <w:sz w:val="20"/>
          <w:szCs w:val="20"/>
        </w:rPr>
      </w:pPr>
      <w:r w:rsidRPr="005F36B4">
        <w:rPr>
          <w:rFonts w:ascii="Arial" w:hAnsi="Arial" w:cs="Arial"/>
          <w:b/>
          <w:bCs/>
          <w:sz w:val="20"/>
          <w:szCs w:val="20"/>
        </w:rPr>
        <w:t>II.</w:t>
      </w:r>
    </w:p>
    <w:p w:rsidR="00DA3244" w:rsidRPr="005F36B4" w:rsidRDefault="00F1355A" w:rsidP="005F36B4">
      <w:pPr>
        <w:jc w:val="center"/>
        <w:rPr>
          <w:rFonts w:ascii="Arial" w:hAnsi="Arial" w:cs="Arial"/>
          <w:sz w:val="20"/>
          <w:szCs w:val="20"/>
        </w:rPr>
      </w:pPr>
      <w:r w:rsidRPr="005F36B4">
        <w:rPr>
          <w:rFonts w:ascii="Arial" w:hAnsi="Arial" w:cs="Arial"/>
          <w:bCs/>
          <w:sz w:val="20"/>
          <w:szCs w:val="20"/>
        </w:rPr>
        <w:t xml:space="preserve">BGH, </w:t>
      </w:r>
      <w:r w:rsidR="00DA3244" w:rsidRPr="005F36B4">
        <w:rPr>
          <w:rFonts w:ascii="Arial" w:hAnsi="Arial" w:cs="Arial"/>
          <w:bCs/>
          <w:sz w:val="20"/>
          <w:szCs w:val="20"/>
        </w:rPr>
        <w:t>Urteil vom</w:t>
      </w:r>
      <w:r w:rsidR="005F36B4" w:rsidRPr="005F36B4">
        <w:rPr>
          <w:rFonts w:ascii="Arial" w:hAnsi="Arial" w:cs="Arial"/>
          <w:bCs/>
          <w:sz w:val="20"/>
          <w:szCs w:val="20"/>
        </w:rPr>
        <w:t xml:space="preserve"> 6. Februar 2018, Az.</w:t>
      </w:r>
      <w:r w:rsidRPr="005F36B4">
        <w:rPr>
          <w:rFonts w:ascii="Arial" w:hAnsi="Arial" w:cs="Arial"/>
          <w:bCs/>
          <w:sz w:val="20"/>
          <w:szCs w:val="20"/>
        </w:rPr>
        <w:t xml:space="preserve"> II ZR 17/17</w:t>
      </w:r>
    </w:p>
    <w:p w:rsidR="00DA3244" w:rsidRPr="005F36B4" w:rsidRDefault="00DA3244" w:rsidP="005F36B4">
      <w:pPr>
        <w:jc w:val="both"/>
        <w:rPr>
          <w:rFonts w:ascii="Arial" w:hAnsi="Arial" w:cs="Arial"/>
          <w:sz w:val="20"/>
          <w:szCs w:val="20"/>
        </w:rPr>
      </w:pPr>
    </w:p>
    <w:p w:rsidR="00DA3244" w:rsidRPr="005F36B4" w:rsidRDefault="00DA3244" w:rsidP="005F36B4">
      <w:pPr>
        <w:jc w:val="both"/>
        <w:rPr>
          <w:rFonts w:ascii="Arial" w:hAnsi="Arial" w:cs="Arial"/>
          <w:sz w:val="20"/>
          <w:szCs w:val="20"/>
        </w:rPr>
      </w:pPr>
      <w:r w:rsidRPr="005F36B4">
        <w:rPr>
          <w:rFonts w:ascii="Arial" w:hAnsi="Arial" w:cs="Arial"/>
          <w:sz w:val="20"/>
          <w:szCs w:val="20"/>
          <w:lang w:eastAsia="de-DE"/>
        </w:rPr>
        <w:t>Ein Anleger, der durch unrichtige Prospektangaben bewogen wurde, einer Anlagegesellschaft als Kommanditist beizutreten, kann im Rahmen des Vertrauensschadens entweder die Rückabwicklung seiner Beteiligung verlangen oder an seiner Anlageentscheidung festhalten und Ersatz des Betrages verlangen, um den er seine Beteiligung wegen der unrichtigen Prospektangaben zu teuer erworben hat (Fortführung von BGH, Urteil vom 3. Februar 2003 – II ZR 233/01, DStR 2003, 1494).</w:t>
      </w:r>
    </w:p>
    <w:p w:rsidR="00F1355A" w:rsidRPr="005F36B4" w:rsidRDefault="00F1355A" w:rsidP="005F36B4">
      <w:pPr>
        <w:rPr>
          <w:rFonts w:ascii="Arial" w:hAnsi="Arial" w:cs="Arial"/>
          <w:sz w:val="20"/>
          <w:szCs w:val="20"/>
        </w:rPr>
      </w:pPr>
    </w:p>
    <w:p w:rsidR="00F1355A" w:rsidRPr="005F36B4" w:rsidRDefault="00F1355A" w:rsidP="005F36B4">
      <w:pPr>
        <w:jc w:val="center"/>
        <w:rPr>
          <w:rFonts w:ascii="Arial" w:hAnsi="Arial" w:cs="Arial"/>
          <w:b/>
          <w:sz w:val="20"/>
          <w:szCs w:val="20"/>
        </w:rPr>
      </w:pPr>
      <w:r w:rsidRPr="005F36B4">
        <w:rPr>
          <w:rFonts w:ascii="Arial" w:hAnsi="Arial" w:cs="Arial"/>
          <w:b/>
          <w:sz w:val="20"/>
          <w:szCs w:val="20"/>
        </w:rPr>
        <w:t>III.</w:t>
      </w:r>
    </w:p>
    <w:p w:rsidR="00F1355A" w:rsidRPr="005F36B4" w:rsidRDefault="00F1355A" w:rsidP="005F36B4">
      <w:pPr>
        <w:pStyle w:val="berschrift3"/>
        <w:spacing w:after="0" w:line="240" w:lineRule="auto"/>
        <w:jc w:val="center"/>
        <w:rPr>
          <w:rFonts w:ascii="Arial" w:hAnsi="Arial" w:cs="Arial"/>
          <w:sz w:val="20"/>
          <w:szCs w:val="20"/>
        </w:rPr>
      </w:pPr>
      <w:r w:rsidRPr="005F36B4">
        <w:rPr>
          <w:rFonts w:ascii="Arial" w:hAnsi="Arial" w:cs="Arial"/>
          <w:sz w:val="20"/>
          <w:szCs w:val="20"/>
        </w:rPr>
        <w:t>Automatische Verlängerung eines Werbeflächenvertrages</w:t>
      </w:r>
    </w:p>
    <w:p w:rsidR="008E3220" w:rsidRPr="005F36B4" w:rsidRDefault="00F1355A" w:rsidP="005F36B4">
      <w:pPr>
        <w:jc w:val="center"/>
        <w:rPr>
          <w:rFonts w:ascii="Arial" w:hAnsi="Arial" w:cs="Arial"/>
          <w:sz w:val="20"/>
          <w:szCs w:val="20"/>
        </w:rPr>
      </w:pPr>
      <w:r w:rsidRPr="005F36B4">
        <w:rPr>
          <w:rFonts w:ascii="Arial" w:hAnsi="Arial" w:cs="Arial"/>
          <w:sz w:val="20"/>
          <w:szCs w:val="20"/>
        </w:rPr>
        <w:t xml:space="preserve">BGH, </w:t>
      </w:r>
      <w:r w:rsidR="008E3220" w:rsidRPr="005F36B4">
        <w:rPr>
          <w:rFonts w:ascii="Arial" w:hAnsi="Arial" w:cs="Arial"/>
          <w:sz w:val="20"/>
          <w:szCs w:val="20"/>
        </w:rPr>
        <w:t>Urteil vom 28.03.2018, Az</w:t>
      </w:r>
      <w:r w:rsidR="005F36B4" w:rsidRPr="005F36B4">
        <w:rPr>
          <w:rFonts w:ascii="Arial" w:hAnsi="Arial" w:cs="Arial"/>
          <w:sz w:val="20"/>
          <w:szCs w:val="20"/>
        </w:rPr>
        <w:t>.</w:t>
      </w:r>
      <w:r w:rsidR="008E3220" w:rsidRPr="005F36B4">
        <w:rPr>
          <w:rFonts w:ascii="Arial" w:hAnsi="Arial" w:cs="Arial"/>
          <w:sz w:val="20"/>
          <w:szCs w:val="20"/>
        </w:rPr>
        <w:t xml:space="preserve"> XII ZR 18/17</w:t>
      </w:r>
    </w:p>
    <w:p w:rsidR="00F1355A" w:rsidRPr="005F36B4" w:rsidRDefault="00F1355A" w:rsidP="005F36B4">
      <w:pPr>
        <w:rPr>
          <w:rFonts w:ascii="Arial" w:hAnsi="Arial" w:cs="Arial"/>
          <w:sz w:val="20"/>
          <w:szCs w:val="20"/>
        </w:rPr>
      </w:pPr>
    </w:p>
    <w:p w:rsidR="008E3220" w:rsidRPr="005F36B4" w:rsidRDefault="008E3220" w:rsidP="005F36B4">
      <w:pPr>
        <w:jc w:val="both"/>
        <w:rPr>
          <w:rFonts w:ascii="Arial" w:hAnsi="Arial" w:cs="Arial"/>
          <w:sz w:val="20"/>
          <w:szCs w:val="20"/>
        </w:rPr>
      </w:pPr>
      <w:r w:rsidRPr="005F36B4">
        <w:rPr>
          <w:rFonts w:ascii="Arial" w:hAnsi="Arial" w:cs="Arial"/>
          <w:sz w:val="20"/>
          <w:szCs w:val="20"/>
        </w:rPr>
        <w:t>Eine Klausel zur automatischen Verlängerung eines Vertrags über Werbeflächen auf Kraftfahrzeugen ist wegen fehlender Transparenz unwirksam, wenn bei Vertragsbeginn nicht eindeutig feststeht, bis wann die Kündigung zur Abwendung der Verlängerung spätestens ausgesprochen werden muss (im Anschluss an Senatsurteil vom 25. Oktober 2017 - XII ZR 1/17 - NZM 2018, 125).</w:t>
      </w:r>
    </w:p>
    <w:p w:rsidR="008E3220" w:rsidRPr="005F36B4" w:rsidRDefault="008E3220" w:rsidP="005F36B4">
      <w:pPr>
        <w:rPr>
          <w:rFonts w:ascii="Arial" w:hAnsi="Arial" w:cs="Arial"/>
          <w:sz w:val="20"/>
          <w:szCs w:val="20"/>
        </w:rPr>
      </w:pPr>
    </w:p>
    <w:p w:rsidR="008E3220" w:rsidRPr="005F36B4" w:rsidRDefault="00F1355A" w:rsidP="005F36B4">
      <w:pPr>
        <w:jc w:val="center"/>
        <w:rPr>
          <w:rFonts w:ascii="Arial" w:hAnsi="Arial" w:cs="Arial"/>
          <w:b/>
          <w:sz w:val="20"/>
          <w:szCs w:val="20"/>
        </w:rPr>
      </w:pPr>
      <w:r w:rsidRPr="005F36B4">
        <w:rPr>
          <w:rFonts w:ascii="Arial" w:hAnsi="Arial" w:cs="Arial"/>
          <w:b/>
          <w:sz w:val="20"/>
          <w:szCs w:val="20"/>
        </w:rPr>
        <w:t>IV.</w:t>
      </w:r>
    </w:p>
    <w:p w:rsidR="008E3220" w:rsidRPr="005F36B4" w:rsidRDefault="008E3220" w:rsidP="005F36B4">
      <w:pPr>
        <w:pStyle w:val="berschrift3"/>
        <w:spacing w:after="0" w:line="240" w:lineRule="auto"/>
        <w:jc w:val="center"/>
        <w:rPr>
          <w:rFonts w:ascii="Arial" w:hAnsi="Arial" w:cs="Arial"/>
          <w:sz w:val="20"/>
          <w:szCs w:val="20"/>
        </w:rPr>
      </w:pPr>
      <w:r w:rsidRPr="005F36B4">
        <w:rPr>
          <w:rFonts w:ascii="Arial" w:hAnsi="Arial" w:cs="Arial"/>
          <w:sz w:val="20"/>
          <w:szCs w:val="20"/>
        </w:rPr>
        <w:t>Verpflichtung des Heimbewohners zur Sicherheitsleistung</w:t>
      </w:r>
    </w:p>
    <w:p w:rsidR="008E3220" w:rsidRPr="005F36B4" w:rsidRDefault="00F1355A" w:rsidP="005F36B4">
      <w:pPr>
        <w:pStyle w:val="berschrift4"/>
        <w:spacing w:after="0"/>
        <w:jc w:val="center"/>
        <w:rPr>
          <w:rFonts w:ascii="Arial" w:hAnsi="Arial" w:cs="Arial"/>
          <w:color w:val="auto"/>
          <w:sz w:val="20"/>
          <w:szCs w:val="20"/>
        </w:rPr>
      </w:pPr>
      <w:r w:rsidRPr="005F36B4">
        <w:rPr>
          <w:rFonts w:ascii="Arial" w:hAnsi="Arial" w:cs="Arial"/>
          <w:color w:val="auto"/>
          <w:sz w:val="20"/>
          <w:szCs w:val="20"/>
        </w:rPr>
        <w:t>BGH, Urteil vom 05.04.2018, Az.</w:t>
      </w:r>
      <w:r w:rsidR="008E3220" w:rsidRPr="005F36B4">
        <w:rPr>
          <w:rFonts w:ascii="Arial" w:hAnsi="Arial" w:cs="Arial"/>
          <w:color w:val="auto"/>
          <w:sz w:val="20"/>
          <w:szCs w:val="20"/>
        </w:rPr>
        <w:t xml:space="preserve"> III ZR 36/17</w:t>
      </w:r>
    </w:p>
    <w:p w:rsidR="00F1355A" w:rsidRPr="005F36B4" w:rsidRDefault="00F1355A" w:rsidP="005F36B4">
      <w:pPr>
        <w:rPr>
          <w:rFonts w:ascii="Arial" w:hAnsi="Arial" w:cs="Arial"/>
          <w:sz w:val="20"/>
          <w:szCs w:val="20"/>
        </w:rPr>
      </w:pPr>
    </w:p>
    <w:p w:rsidR="008E3220" w:rsidRPr="005F36B4" w:rsidRDefault="008E3220" w:rsidP="005F36B4">
      <w:pPr>
        <w:jc w:val="both"/>
        <w:rPr>
          <w:rFonts w:ascii="Arial" w:hAnsi="Arial" w:cs="Arial"/>
          <w:sz w:val="20"/>
          <w:szCs w:val="20"/>
        </w:rPr>
      </w:pPr>
      <w:r w:rsidRPr="005F36B4">
        <w:rPr>
          <w:rFonts w:ascii="Arial" w:hAnsi="Arial" w:cs="Arial"/>
          <w:sz w:val="20"/>
          <w:szCs w:val="20"/>
        </w:rPr>
        <w:t xml:space="preserve">Vorformulierte Bestimmungen in einem Wohn- und Betreuungsvertrag über vollstationäre Pflege zwischen einem Versicherten der Pflegeversicherung (Verbraucher) und einer zugelassenen Pflegeeinrichtung ohne Pflegesatzvereinbarung (§§ 85, 91 Abs. 1 SGB XI), die eine Verpflichtung des Heimbewohners zur Sicherheitsleistung vorsehen, sind mit § 14 Abs. 4 Satz 1 WBVG vereinbar. Dies </w:t>
      </w:r>
      <w:r w:rsidRPr="005F36B4">
        <w:rPr>
          <w:rFonts w:ascii="Arial" w:hAnsi="Arial" w:cs="Arial"/>
          <w:sz w:val="20"/>
          <w:szCs w:val="20"/>
        </w:rPr>
        <w:lastRenderedPageBreak/>
        <w:t>gilt auch gegenüber Verbrauchern, die berechtigt sind, Hilfe in Einrichtungen nach dem SGB XII in Anspruch zu nehmen.</w:t>
      </w:r>
    </w:p>
    <w:p w:rsidR="00F1355A" w:rsidRPr="005F36B4" w:rsidRDefault="00F1355A" w:rsidP="005F36B4">
      <w:pPr>
        <w:jc w:val="both"/>
        <w:rPr>
          <w:rFonts w:ascii="Arial" w:hAnsi="Arial" w:cs="Arial"/>
          <w:sz w:val="20"/>
          <w:szCs w:val="20"/>
        </w:rPr>
      </w:pPr>
    </w:p>
    <w:p w:rsidR="00F1355A" w:rsidRPr="005F36B4" w:rsidRDefault="00F1355A" w:rsidP="005F36B4">
      <w:pPr>
        <w:jc w:val="center"/>
        <w:rPr>
          <w:rFonts w:ascii="Arial" w:hAnsi="Arial" w:cs="Arial"/>
          <w:b/>
          <w:sz w:val="20"/>
          <w:szCs w:val="20"/>
        </w:rPr>
      </w:pPr>
      <w:r w:rsidRPr="005F36B4">
        <w:rPr>
          <w:rFonts w:ascii="Arial" w:hAnsi="Arial" w:cs="Arial"/>
          <w:b/>
          <w:sz w:val="20"/>
          <w:szCs w:val="20"/>
        </w:rPr>
        <w:t>V.</w:t>
      </w:r>
    </w:p>
    <w:p w:rsidR="00A00A28" w:rsidRPr="005F36B4" w:rsidRDefault="00A00A28" w:rsidP="005F36B4">
      <w:pPr>
        <w:pStyle w:val="berschrift3"/>
        <w:spacing w:after="0" w:line="240" w:lineRule="auto"/>
        <w:jc w:val="center"/>
        <w:rPr>
          <w:rFonts w:ascii="Arial" w:hAnsi="Arial" w:cs="Arial"/>
          <w:sz w:val="20"/>
          <w:szCs w:val="20"/>
        </w:rPr>
      </w:pPr>
      <w:r w:rsidRPr="005F36B4">
        <w:rPr>
          <w:rFonts w:ascii="Arial" w:hAnsi="Arial" w:cs="Arial"/>
          <w:sz w:val="20"/>
          <w:szCs w:val="20"/>
        </w:rPr>
        <w:t>Nutzungsausfallentschädigung für Motorrad</w:t>
      </w:r>
    </w:p>
    <w:p w:rsidR="00A00A28" w:rsidRDefault="005F36B4" w:rsidP="005F36B4">
      <w:pPr>
        <w:pStyle w:val="berschrift4"/>
        <w:spacing w:after="0"/>
        <w:jc w:val="center"/>
        <w:rPr>
          <w:rFonts w:ascii="Arial" w:hAnsi="Arial" w:cs="Arial"/>
          <w:color w:val="auto"/>
          <w:sz w:val="20"/>
          <w:szCs w:val="20"/>
        </w:rPr>
      </w:pPr>
      <w:r w:rsidRPr="005F36B4">
        <w:rPr>
          <w:rFonts w:ascii="Arial" w:hAnsi="Arial" w:cs="Arial"/>
          <w:color w:val="auto"/>
          <w:sz w:val="20"/>
          <w:szCs w:val="20"/>
        </w:rPr>
        <w:t xml:space="preserve">BGH, </w:t>
      </w:r>
      <w:r w:rsidR="00A00A28" w:rsidRPr="005F36B4">
        <w:rPr>
          <w:rFonts w:ascii="Arial" w:hAnsi="Arial" w:cs="Arial"/>
          <w:color w:val="auto"/>
          <w:sz w:val="20"/>
          <w:szCs w:val="20"/>
        </w:rPr>
        <w:t>Urteil vom 23.01.2018, Az</w:t>
      </w:r>
      <w:r w:rsidRPr="005F36B4">
        <w:rPr>
          <w:rFonts w:ascii="Arial" w:hAnsi="Arial" w:cs="Arial"/>
          <w:color w:val="auto"/>
          <w:sz w:val="20"/>
          <w:szCs w:val="20"/>
        </w:rPr>
        <w:t>.</w:t>
      </w:r>
      <w:r w:rsidR="00A00A28" w:rsidRPr="005F36B4">
        <w:rPr>
          <w:rFonts w:ascii="Arial" w:hAnsi="Arial" w:cs="Arial"/>
          <w:color w:val="auto"/>
          <w:sz w:val="20"/>
          <w:szCs w:val="20"/>
        </w:rPr>
        <w:t xml:space="preserve"> VI ZR 57/17</w:t>
      </w:r>
    </w:p>
    <w:p w:rsidR="005F36B4" w:rsidRPr="005F36B4" w:rsidRDefault="005F36B4" w:rsidP="005F36B4">
      <w:pPr>
        <w:pStyle w:val="berschrift4"/>
        <w:spacing w:after="0"/>
        <w:jc w:val="center"/>
        <w:rPr>
          <w:rFonts w:ascii="Arial" w:hAnsi="Arial" w:cs="Arial"/>
          <w:color w:val="auto"/>
          <w:sz w:val="20"/>
          <w:szCs w:val="20"/>
        </w:rPr>
      </w:pPr>
    </w:p>
    <w:p w:rsidR="005F36B4" w:rsidRPr="005F36B4" w:rsidRDefault="00A00A28" w:rsidP="005F36B4">
      <w:pPr>
        <w:jc w:val="both"/>
        <w:rPr>
          <w:rFonts w:ascii="Arial" w:hAnsi="Arial" w:cs="Arial"/>
          <w:sz w:val="20"/>
          <w:szCs w:val="20"/>
        </w:rPr>
      </w:pPr>
      <w:r w:rsidRPr="005F36B4">
        <w:rPr>
          <w:rFonts w:ascii="Arial" w:hAnsi="Arial" w:cs="Arial"/>
          <w:sz w:val="20"/>
          <w:szCs w:val="20"/>
        </w:rPr>
        <w:t>a) Der vorübergehende Entzug der Gebrauchsmöglichkeit eines Motorrads, das dem Geschädigten als einziges Kraftfahrzeug zur Verfügung steht und nicht reinen Freizeitzwecken dient, stellt einen Vermögensschaden dar und kann einen Anspruch auf Nutzungsausfallentschädigung begründen.</w:t>
      </w:r>
    </w:p>
    <w:p w:rsidR="00A00A28" w:rsidRPr="005F36B4" w:rsidRDefault="00A00A28" w:rsidP="005F36B4">
      <w:pPr>
        <w:jc w:val="both"/>
        <w:rPr>
          <w:rFonts w:ascii="Arial" w:hAnsi="Arial" w:cs="Arial"/>
          <w:sz w:val="20"/>
          <w:szCs w:val="20"/>
        </w:rPr>
      </w:pPr>
      <w:r w:rsidRPr="005F36B4">
        <w:rPr>
          <w:rFonts w:ascii="Arial" w:hAnsi="Arial" w:cs="Arial"/>
          <w:sz w:val="20"/>
          <w:szCs w:val="20"/>
        </w:rPr>
        <w:t>b) Der Umstand, dass der Geschädigte das Motorrad nur bei günstigen Witterungsbedingungen nutzt, spielt erst im Rahmen der konkreten Schadensbetrachtung bei der Frage eine Rolle, ob der Geschädigte - auch im Hinblick auf die Wetterlage zur Nutzung willens und in der Lage war.</w:t>
      </w:r>
    </w:p>
    <w:p w:rsidR="00A00A28" w:rsidRPr="005F36B4" w:rsidRDefault="00A00A28" w:rsidP="005F36B4">
      <w:pPr>
        <w:jc w:val="both"/>
        <w:rPr>
          <w:rFonts w:ascii="Arial" w:hAnsi="Arial" w:cs="Arial"/>
          <w:sz w:val="20"/>
          <w:szCs w:val="20"/>
        </w:rPr>
      </w:pPr>
    </w:p>
    <w:p w:rsidR="00A00A28" w:rsidRPr="005F36B4" w:rsidRDefault="005F36B4" w:rsidP="005F36B4">
      <w:pPr>
        <w:jc w:val="center"/>
        <w:rPr>
          <w:rFonts w:ascii="Arial" w:hAnsi="Arial" w:cs="Arial"/>
          <w:b/>
          <w:sz w:val="20"/>
          <w:szCs w:val="20"/>
        </w:rPr>
      </w:pPr>
      <w:r w:rsidRPr="005F36B4">
        <w:rPr>
          <w:rFonts w:ascii="Arial" w:hAnsi="Arial" w:cs="Arial"/>
          <w:b/>
          <w:sz w:val="20"/>
          <w:szCs w:val="20"/>
        </w:rPr>
        <w:t>VI.</w:t>
      </w:r>
    </w:p>
    <w:p w:rsidR="005F36B4" w:rsidRPr="005F36B4" w:rsidRDefault="005F36B4" w:rsidP="005F36B4">
      <w:pPr>
        <w:ind w:right="480"/>
        <w:jc w:val="center"/>
        <w:rPr>
          <w:rFonts w:ascii="Arial" w:hAnsi="Arial" w:cs="Arial"/>
          <w:b/>
          <w:bCs/>
          <w:sz w:val="20"/>
          <w:szCs w:val="20"/>
          <w:lang w:eastAsia="de-DE"/>
        </w:rPr>
      </w:pPr>
      <w:r w:rsidRPr="005F36B4">
        <w:rPr>
          <w:rFonts w:ascii="Arial" w:hAnsi="Arial" w:cs="Arial"/>
          <w:b/>
          <w:bCs/>
          <w:sz w:val="20"/>
          <w:szCs w:val="20"/>
          <w:lang w:eastAsia="de-DE"/>
        </w:rPr>
        <w:t>Rückforderung überzahlter Honorare nach Feststellung eines sozialversicherungspflichtigen Beschäftigungsverhältnisses</w:t>
      </w:r>
    </w:p>
    <w:p w:rsidR="00A00A28" w:rsidRPr="005F36B4" w:rsidRDefault="00A00A28" w:rsidP="005F36B4">
      <w:pPr>
        <w:ind w:right="540"/>
        <w:jc w:val="center"/>
        <w:rPr>
          <w:rFonts w:ascii="Arial" w:hAnsi="Arial" w:cs="Arial"/>
          <w:bCs/>
          <w:sz w:val="20"/>
          <w:szCs w:val="20"/>
        </w:rPr>
      </w:pPr>
      <w:r w:rsidRPr="005F36B4">
        <w:rPr>
          <w:rFonts w:ascii="Arial" w:hAnsi="Arial" w:cs="Arial"/>
          <w:bCs/>
          <w:sz w:val="20"/>
          <w:szCs w:val="20"/>
          <w:lang w:eastAsia="de-DE"/>
        </w:rPr>
        <w:t>Landesa</w:t>
      </w:r>
      <w:r w:rsidR="005F36B4" w:rsidRPr="005F36B4">
        <w:rPr>
          <w:rFonts w:ascii="Arial" w:hAnsi="Arial" w:cs="Arial"/>
          <w:bCs/>
          <w:sz w:val="20"/>
          <w:szCs w:val="20"/>
          <w:lang w:eastAsia="de-DE"/>
        </w:rPr>
        <w:t xml:space="preserve">rbeitsgericht Baden-Württemberg, </w:t>
      </w:r>
      <w:r w:rsidRPr="005F36B4">
        <w:rPr>
          <w:rFonts w:ascii="Arial" w:hAnsi="Arial" w:cs="Arial"/>
          <w:bCs/>
          <w:sz w:val="20"/>
          <w:szCs w:val="20"/>
        </w:rPr>
        <w:t>Urte</w:t>
      </w:r>
      <w:r w:rsidR="005F36B4" w:rsidRPr="005F36B4">
        <w:rPr>
          <w:rFonts w:ascii="Arial" w:hAnsi="Arial" w:cs="Arial"/>
          <w:bCs/>
          <w:sz w:val="20"/>
          <w:szCs w:val="20"/>
        </w:rPr>
        <w:t>il vom 30.10.2017,</w:t>
      </w:r>
      <w:r w:rsidR="005F36B4">
        <w:rPr>
          <w:rFonts w:ascii="Arial" w:hAnsi="Arial" w:cs="Arial"/>
          <w:bCs/>
          <w:sz w:val="20"/>
          <w:szCs w:val="20"/>
        </w:rPr>
        <w:t xml:space="preserve"> Az.</w:t>
      </w:r>
      <w:r w:rsidR="005F36B4" w:rsidRPr="005F36B4">
        <w:rPr>
          <w:rFonts w:ascii="Arial" w:hAnsi="Arial" w:cs="Arial"/>
          <w:bCs/>
          <w:sz w:val="20"/>
          <w:szCs w:val="20"/>
        </w:rPr>
        <w:t xml:space="preserve"> 11 Sa 66/16</w:t>
      </w:r>
    </w:p>
    <w:p w:rsidR="00A00A28" w:rsidRPr="005F36B4" w:rsidRDefault="00A00A28" w:rsidP="005F36B4">
      <w:pPr>
        <w:ind w:right="480"/>
        <w:jc w:val="both"/>
        <w:rPr>
          <w:rFonts w:ascii="Arial" w:hAnsi="Arial" w:cs="Arial"/>
          <w:b/>
          <w:bCs/>
          <w:sz w:val="20"/>
          <w:szCs w:val="20"/>
          <w:lang w:eastAsia="de-DE"/>
        </w:rPr>
      </w:pPr>
    </w:p>
    <w:p w:rsidR="005F36B4" w:rsidRPr="005F36B4" w:rsidRDefault="00A00A28" w:rsidP="005F36B4">
      <w:pPr>
        <w:ind w:right="480"/>
        <w:jc w:val="both"/>
        <w:rPr>
          <w:rFonts w:ascii="Arial" w:hAnsi="Arial" w:cs="Arial"/>
          <w:sz w:val="20"/>
          <w:szCs w:val="20"/>
          <w:lang w:eastAsia="de-DE"/>
        </w:rPr>
      </w:pPr>
      <w:r w:rsidRPr="005F36B4">
        <w:rPr>
          <w:rFonts w:ascii="Arial" w:hAnsi="Arial" w:cs="Arial"/>
          <w:sz w:val="20"/>
          <w:szCs w:val="20"/>
          <w:lang w:eastAsia="de-DE"/>
        </w:rPr>
        <w:t>1. Die Veränderung des rechtlichen Status eines Mitarbeiters vom Selbständigen zum Arbeitnehmer führt nicht ohne Weiteres zur Unwirksamkeit einer getroffenen Vergütungsvereinbarung.</w:t>
      </w:r>
    </w:p>
    <w:p w:rsidR="005F36B4" w:rsidRPr="005F36B4" w:rsidRDefault="00A00A28" w:rsidP="005F36B4">
      <w:pPr>
        <w:ind w:right="480"/>
        <w:jc w:val="both"/>
        <w:rPr>
          <w:rFonts w:ascii="Arial" w:hAnsi="Arial" w:cs="Arial"/>
          <w:sz w:val="20"/>
          <w:szCs w:val="20"/>
          <w:lang w:eastAsia="de-DE"/>
        </w:rPr>
      </w:pPr>
      <w:r w:rsidRPr="005F36B4">
        <w:rPr>
          <w:rFonts w:ascii="Arial" w:hAnsi="Arial" w:cs="Arial"/>
          <w:sz w:val="20"/>
          <w:szCs w:val="20"/>
          <w:lang w:eastAsia="de-DE"/>
        </w:rPr>
        <w:t xml:space="preserve">2. Wird der Arbeitnehmerstatus rückwirkend festgestellt, ist Voraussetzung für einen Rückforderungsanspruch wegen überzahlter Honorare, dass bei dem Dienstberechtigten unterschiedliche Vergütungsordnungen für freie Mitarbeiter und für Arbeitnehmer gelten. </w:t>
      </w:r>
    </w:p>
    <w:p w:rsidR="005F36B4" w:rsidRPr="005F36B4" w:rsidRDefault="00A00A28" w:rsidP="005F36B4">
      <w:pPr>
        <w:ind w:right="480"/>
        <w:jc w:val="both"/>
        <w:rPr>
          <w:rFonts w:ascii="Arial" w:hAnsi="Arial" w:cs="Arial"/>
          <w:sz w:val="20"/>
          <w:szCs w:val="20"/>
          <w:lang w:eastAsia="de-DE"/>
        </w:rPr>
      </w:pPr>
      <w:r w:rsidRPr="005F36B4">
        <w:rPr>
          <w:rFonts w:ascii="Arial" w:hAnsi="Arial" w:cs="Arial"/>
          <w:sz w:val="20"/>
          <w:szCs w:val="20"/>
          <w:lang w:eastAsia="de-DE"/>
        </w:rPr>
        <w:t xml:space="preserve">3. Daran ändert sich auch nichts, wenn der Mitarbeiter selbst kein Arbeitsverhältnis wollte. </w:t>
      </w:r>
    </w:p>
    <w:p w:rsidR="00A00A28" w:rsidRPr="005F36B4" w:rsidRDefault="00A00A28" w:rsidP="005F36B4">
      <w:pPr>
        <w:ind w:right="480"/>
        <w:jc w:val="both"/>
        <w:rPr>
          <w:rFonts w:ascii="Arial" w:hAnsi="Arial" w:cs="Arial"/>
          <w:sz w:val="20"/>
          <w:szCs w:val="20"/>
          <w:lang w:eastAsia="de-DE"/>
        </w:rPr>
      </w:pPr>
      <w:r w:rsidRPr="005F36B4">
        <w:rPr>
          <w:rFonts w:ascii="Arial" w:hAnsi="Arial" w:cs="Arial"/>
          <w:sz w:val="20"/>
          <w:szCs w:val="20"/>
          <w:lang w:eastAsia="de-DE"/>
        </w:rPr>
        <w:t>4. Nehmen die Parteien fälschlich an, zwischen ihnen bestehe ein freies Mitarbeitsverhältnis, kommt ein Wegfall der Geschäftsgrundlage allein deshalb, weil der Arbeitgeber Beiträge zur Sozialversicherung entrichten muss, nicht in Betracht.</w:t>
      </w:r>
    </w:p>
    <w:p w:rsidR="00A00A28" w:rsidRPr="005F36B4" w:rsidRDefault="00A00A28" w:rsidP="005F36B4">
      <w:pPr>
        <w:ind w:right="480"/>
        <w:jc w:val="both"/>
        <w:rPr>
          <w:rFonts w:ascii="Arial" w:hAnsi="Arial" w:cs="Arial"/>
          <w:sz w:val="20"/>
          <w:szCs w:val="20"/>
          <w:lang w:eastAsia="de-DE"/>
        </w:rPr>
      </w:pPr>
    </w:p>
    <w:p w:rsidR="005F36B4" w:rsidRPr="005F36B4" w:rsidRDefault="005F36B4" w:rsidP="005F36B4">
      <w:pPr>
        <w:ind w:right="480"/>
        <w:jc w:val="center"/>
        <w:rPr>
          <w:rFonts w:ascii="Arial" w:hAnsi="Arial" w:cs="Arial"/>
          <w:b/>
          <w:bCs/>
          <w:sz w:val="20"/>
          <w:szCs w:val="20"/>
          <w:lang w:eastAsia="de-DE"/>
        </w:rPr>
      </w:pPr>
      <w:r w:rsidRPr="005F36B4">
        <w:rPr>
          <w:rFonts w:ascii="Arial" w:hAnsi="Arial" w:cs="Arial"/>
          <w:b/>
          <w:bCs/>
          <w:sz w:val="20"/>
          <w:szCs w:val="20"/>
          <w:lang w:eastAsia="de-DE"/>
        </w:rPr>
        <w:t>VII.</w:t>
      </w:r>
    </w:p>
    <w:p w:rsidR="005F36B4" w:rsidRPr="005F36B4" w:rsidRDefault="005F36B4" w:rsidP="005F36B4">
      <w:pPr>
        <w:ind w:right="480"/>
        <w:jc w:val="center"/>
        <w:rPr>
          <w:rFonts w:ascii="Arial" w:hAnsi="Arial" w:cs="Arial"/>
          <w:b/>
          <w:bCs/>
          <w:sz w:val="20"/>
          <w:szCs w:val="20"/>
          <w:lang w:eastAsia="de-DE"/>
        </w:rPr>
      </w:pPr>
      <w:r w:rsidRPr="005F36B4">
        <w:rPr>
          <w:rFonts w:ascii="Arial" w:hAnsi="Arial" w:cs="Arial"/>
          <w:b/>
          <w:bCs/>
          <w:sz w:val="20"/>
          <w:szCs w:val="20"/>
          <w:lang w:eastAsia="de-DE"/>
        </w:rPr>
        <w:t>Konkludente Vertragsänderung; Verzugspauschale</w:t>
      </w:r>
    </w:p>
    <w:p w:rsidR="00A00A28" w:rsidRPr="005F36B4" w:rsidRDefault="005F36B4" w:rsidP="005F36B4">
      <w:pPr>
        <w:ind w:right="540"/>
        <w:jc w:val="center"/>
        <w:rPr>
          <w:rFonts w:ascii="Arial" w:hAnsi="Arial" w:cs="Arial"/>
          <w:bCs/>
          <w:sz w:val="20"/>
          <w:szCs w:val="20"/>
        </w:rPr>
      </w:pPr>
      <w:r w:rsidRPr="005F36B4">
        <w:rPr>
          <w:rFonts w:ascii="Arial" w:hAnsi="Arial" w:cs="Arial"/>
          <w:bCs/>
          <w:sz w:val="20"/>
          <w:szCs w:val="20"/>
          <w:lang w:eastAsia="de-DE"/>
        </w:rPr>
        <w:t xml:space="preserve">Arbeitsgericht Freiburg, </w:t>
      </w:r>
      <w:r w:rsidR="00A00A28" w:rsidRPr="005F36B4">
        <w:rPr>
          <w:rFonts w:ascii="Arial" w:hAnsi="Arial" w:cs="Arial"/>
          <w:bCs/>
          <w:sz w:val="20"/>
          <w:szCs w:val="20"/>
        </w:rPr>
        <w:t>Ur</w:t>
      </w:r>
      <w:r w:rsidRPr="005F36B4">
        <w:rPr>
          <w:rFonts w:ascii="Arial" w:hAnsi="Arial" w:cs="Arial"/>
          <w:bCs/>
          <w:sz w:val="20"/>
          <w:szCs w:val="20"/>
        </w:rPr>
        <w:t>teil vom 26.10.2017, 8 Ca 82/17</w:t>
      </w:r>
    </w:p>
    <w:p w:rsidR="00A00A28" w:rsidRPr="005F36B4" w:rsidRDefault="00A00A28" w:rsidP="005F36B4">
      <w:pPr>
        <w:ind w:right="480"/>
        <w:jc w:val="both"/>
        <w:rPr>
          <w:rFonts w:ascii="Arial" w:hAnsi="Arial" w:cs="Arial"/>
          <w:b/>
          <w:bCs/>
          <w:sz w:val="20"/>
          <w:szCs w:val="20"/>
          <w:lang w:eastAsia="de-DE"/>
        </w:rPr>
      </w:pPr>
    </w:p>
    <w:p w:rsidR="005F36B4" w:rsidRPr="005F36B4" w:rsidRDefault="00A00A28" w:rsidP="005F36B4">
      <w:pPr>
        <w:ind w:right="480"/>
        <w:jc w:val="both"/>
        <w:rPr>
          <w:rFonts w:ascii="Arial" w:hAnsi="Arial" w:cs="Arial"/>
          <w:sz w:val="20"/>
          <w:szCs w:val="20"/>
          <w:lang w:eastAsia="de-DE"/>
        </w:rPr>
      </w:pPr>
      <w:r w:rsidRPr="005F36B4">
        <w:rPr>
          <w:rFonts w:ascii="Arial" w:hAnsi="Arial" w:cs="Arial"/>
          <w:sz w:val="20"/>
          <w:szCs w:val="20"/>
          <w:lang w:eastAsia="de-DE"/>
        </w:rPr>
        <w:t>1. Durch jahrelange vorbehaltlose monatliche Zahlung einer von einer Zielvereinbarung abhängigen variablen Vergütung ohne Vorliegen von Zielvereinbarungen können die Parteien auf das Erfordernis des Abschlusses einer Zielvereinbarung konkludent verzichten.</w:t>
      </w:r>
    </w:p>
    <w:p w:rsidR="00A00A28" w:rsidRPr="005F36B4" w:rsidRDefault="00A00A28" w:rsidP="005F36B4">
      <w:pPr>
        <w:ind w:right="480"/>
        <w:jc w:val="both"/>
        <w:rPr>
          <w:rFonts w:ascii="Arial" w:hAnsi="Arial" w:cs="Arial"/>
          <w:sz w:val="20"/>
          <w:szCs w:val="20"/>
          <w:lang w:eastAsia="de-DE"/>
        </w:rPr>
      </w:pPr>
      <w:r w:rsidRPr="005F36B4">
        <w:rPr>
          <w:rFonts w:ascii="Arial" w:hAnsi="Arial" w:cs="Arial"/>
          <w:sz w:val="20"/>
          <w:szCs w:val="20"/>
          <w:lang w:eastAsia="de-DE"/>
        </w:rPr>
        <w:t>2. Der Anspruch auf eine Verzugspauschale nach § 288 Abs. 5 BGB besteht regelmäßig nur einmal pro Abrechnungszeitraum auch wenn in einem Monat mehrere Vergütungsbestandteile zu Unrecht nicht gezahlt wurden.</w:t>
      </w:r>
    </w:p>
    <w:p w:rsidR="00A00A28" w:rsidRPr="005F36B4" w:rsidRDefault="00A00A28" w:rsidP="005F36B4">
      <w:pPr>
        <w:ind w:right="480"/>
        <w:jc w:val="both"/>
        <w:rPr>
          <w:rFonts w:ascii="Arial" w:hAnsi="Arial" w:cs="Arial"/>
          <w:sz w:val="20"/>
          <w:szCs w:val="20"/>
          <w:lang w:eastAsia="de-DE"/>
        </w:rPr>
      </w:pPr>
    </w:p>
    <w:p w:rsidR="00A00A28" w:rsidRPr="005F36B4" w:rsidRDefault="005F36B4" w:rsidP="005F36B4">
      <w:pPr>
        <w:jc w:val="center"/>
        <w:rPr>
          <w:rFonts w:ascii="Arial" w:hAnsi="Arial" w:cs="Arial"/>
          <w:b/>
          <w:sz w:val="20"/>
          <w:szCs w:val="20"/>
        </w:rPr>
      </w:pPr>
      <w:r w:rsidRPr="005F36B4">
        <w:rPr>
          <w:rFonts w:ascii="Arial" w:hAnsi="Arial" w:cs="Arial"/>
          <w:b/>
          <w:sz w:val="20"/>
          <w:szCs w:val="20"/>
        </w:rPr>
        <w:t>VIII.</w:t>
      </w:r>
    </w:p>
    <w:p w:rsidR="005F36B4" w:rsidRPr="005F36B4" w:rsidRDefault="005F36B4" w:rsidP="005F36B4">
      <w:pPr>
        <w:jc w:val="center"/>
        <w:rPr>
          <w:rFonts w:ascii="Arial" w:hAnsi="Arial" w:cs="Arial"/>
          <w:b/>
          <w:sz w:val="20"/>
          <w:szCs w:val="20"/>
        </w:rPr>
      </w:pPr>
      <w:r w:rsidRPr="005F36B4">
        <w:rPr>
          <w:rFonts w:ascii="Arial" w:hAnsi="Arial" w:cs="Arial"/>
          <w:b/>
          <w:sz w:val="20"/>
          <w:szCs w:val="20"/>
        </w:rPr>
        <w:t>Kündigungsschutzklage während der Wartezeit</w:t>
      </w:r>
    </w:p>
    <w:p w:rsidR="00A00A28" w:rsidRPr="005F36B4" w:rsidRDefault="00A00A28" w:rsidP="005F36B4">
      <w:pPr>
        <w:ind w:right="540"/>
        <w:jc w:val="center"/>
        <w:rPr>
          <w:rFonts w:ascii="Arial" w:hAnsi="Arial" w:cs="Arial"/>
          <w:bCs/>
          <w:sz w:val="20"/>
          <w:szCs w:val="20"/>
        </w:rPr>
      </w:pPr>
      <w:r w:rsidRPr="005F36B4">
        <w:rPr>
          <w:rFonts w:ascii="Arial" w:hAnsi="Arial" w:cs="Arial"/>
          <w:bCs/>
          <w:sz w:val="20"/>
          <w:szCs w:val="20"/>
          <w:lang w:eastAsia="de-DE"/>
        </w:rPr>
        <w:t>Landesarbeitsgericht Köln</w:t>
      </w:r>
      <w:r w:rsidR="005F36B4" w:rsidRPr="005F36B4">
        <w:rPr>
          <w:rFonts w:ascii="Arial" w:hAnsi="Arial" w:cs="Arial"/>
          <w:bCs/>
          <w:sz w:val="20"/>
          <w:szCs w:val="20"/>
          <w:lang w:eastAsia="de-DE"/>
        </w:rPr>
        <w:t xml:space="preserve">, </w:t>
      </w:r>
      <w:r w:rsidRPr="005F36B4">
        <w:rPr>
          <w:rFonts w:ascii="Arial" w:hAnsi="Arial" w:cs="Arial"/>
          <w:bCs/>
          <w:sz w:val="20"/>
          <w:szCs w:val="20"/>
        </w:rPr>
        <w:t>Urteil vom 2.03.2018 - 6 Sa 958/17</w:t>
      </w:r>
    </w:p>
    <w:p w:rsidR="00A00A28" w:rsidRPr="005F36B4" w:rsidRDefault="00A00A28" w:rsidP="005F36B4">
      <w:pPr>
        <w:ind w:right="480"/>
        <w:jc w:val="both"/>
        <w:rPr>
          <w:rFonts w:ascii="Arial" w:hAnsi="Arial" w:cs="Arial"/>
          <w:b/>
          <w:bCs/>
          <w:sz w:val="20"/>
          <w:szCs w:val="20"/>
          <w:lang w:eastAsia="de-DE"/>
        </w:rPr>
      </w:pPr>
    </w:p>
    <w:p w:rsidR="00A00A28" w:rsidRPr="005F36B4" w:rsidRDefault="00A00A28" w:rsidP="005F36B4">
      <w:pPr>
        <w:ind w:right="480"/>
        <w:jc w:val="both"/>
        <w:rPr>
          <w:rFonts w:ascii="Arial" w:hAnsi="Arial" w:cs="Arial"/>
          <w:sz w:val="20"/>
          <w:szCs w:val="20"/>
          <w:lang w:eastAsia="de-DE"/>
        </w:rPr>
      </w:pPr>
      <w:r w:rsidRPr="005F36B4">
        <w:rPr>
          <w:rFonts w:ascii="Arial" w:hAnsi="Arial" w:cs="Arial"/>
          <w:sz w:val="20"/>
          <w:szCs w:val="20"/>
          <w:lang w:eastAsia="de-DE"/>
        </w:rPr>
        <w:t>Die Zurückweisung einer Kündigungserklärung nach § 174 BGB kommt nur in Betracht, wenn ausdrücklich das Fehlen der Originalvollmacht gerügt wird. Das allgemeine Bestreiten der Wirksamkeit der Kündigung und das Bestreiten der Vertretungsmacht des Kündigenden sind nicht ausreichend.</w:t>
      </w:r>
    </w:p>
    <w:p w:rsidR="00A00A28" w:rsidRPr="005F36B4" w:rsidRDefault="00A00A28" w:rsidP="005F36B4">
      <w:pPr>
        <w:jc w:val="both"/>
        <w:rPr>
          <w:rFonts w:ascii="Arial" w:hAnsi="Arial" w:cs="Arial"/>
          <w:sz w:val="20"/>
          <w:szCs w:val="20"/>
        </w:rPr>
      </w:pPr>
    </w:p>
    <w:p w:rsidR="005F36B4" w:rsidRPr="005F36B4" w:rsidRDefault="005F36B4" w:rsidP="005F36B4">
      <w:pPr>
        <w:pStyle w:val="berschrift3"/>
        <w:spacing w:after="0" w:line="240" w:lineRule="auto"/>
        <w:jc w:val="center"/>
        <w:rPr>
          <w:rFonts w:ascii="Arial" w:hAnsi="Arial" w:cs="Arial"/>
          <w:sz w:val="20"/>
          <w:szCs w:val="20"/>
        </w:rPr>
      </w:pPr>
      <w:r w:rsidRPr="005F36B4">
        <w:rPr>
          <w:rFonts w:ascii="Arial" w:hAnsi="Arial" w:cs="Arial"/>
          <w:sz w:val="20"/>
          <w:szCs w:val="20"/>
        </w:rPr>
        <w:t>IX.</w:t>
      </w:r>
    </w:p>
    <w:p w:rsidR="00A00A28" w:rsidRPr="005F36B4" w:rsidRDefault="00A00A28" w:rsidP="005F36B4">
      <w:pPr>
        <w:pStyle w:val="berschrift3"/>
        <w:spacing w:after="0" w:line="240" w:lineRule="auto"/>
        <w:jc w:val="center"/>
        <w:rPr>
          <w:rFonts w:ascii="Arial" w:hAnsi="Arial" w:cs="Arial"/>
          <w:sz w:val="20"/>
          <w:szCs w:val="20"/>
        </w:rPr>
      </w:pPr>
      <w:r w:rsidRPr="005F36B4">
        <w:rPr>
          <w:rFonts w:ascii="Arial" w:hAnsi="Arial" w:cs="Arial"/>
          <w:sz w:val="20"/>
          <w:szCs w:val="20"/>
        </w:rPr>
        <w:t>Unwirksame Aufrechnungsklausel in Sparkassen-AGB</w:t>
      </w:r>
    </w:p>
    <w:p w:rsidR="00A00A28" w:rsidRDefault="005F36B4" w:rsidP="005F36B4">
      <w:pPr>
        <w:pStyle w:val="berschrift4"/>
        <w:spacing w:after="0"/>
        <w:jc w:val="center"/>
        <w:rPr>
          <w:rFonts w:ascii="Arial" w:hAnsi="Arial" w:cs="Arial"/>
          <w:color w:val="auto"/>
          <w:sz w:val="20"/>
          <w:szCs w:val="20"/>
        </w:rPr>
      </w:pPr>
      <w:r w:rsidRPr="005F36B4">
        <w:rPr>
          <w:rFonts w:ascii="Arial" w:hAnsi="Arial" w:cs="Arial"/>
          <w:color w:val="auto"/>
          <w:sz w:val="20"/>
          <w:szCs w:val="20"/>
        </w:rPr>
        <w:t xml:space="preserve">BGH, </w:t>
      </w:r>
      <w:r w:rsidR="00A00A28" w:rsidRPr="005F36B4">
        <w:rPr>
          <w:rFonts w:ascii="Arial" w:hAnsi="Arial" w:cs="Arial"/>
          <w:color w:val="auto"/>
          <w:sz w:val="20"/>
          <w:szCs w:val="20"/>
        </w:rPr>
        <w:t>Urteil vom 20.03.2018, Az</w:t>
      </w:r>
      <w:r w:rsidRPr="005F36B4">
        <w:rPr>
          <w:rFonts w:ascii="Arial" w:hAnsi="Arial" w:cs="Arial"/>
          <w:color w:val="auto"/>
          <w:sz w:val="20"/>
          <w:szCs w:val="20"/>
        </w:rPr>
        <w:t>.</w:t>
      </w:r>
      <w:r w:rsidR="00A00A28" w:rsidRPr="005F36B4">
        <w:rPr>
          <w:rFonts w:ascii="Arial" w:hAnsi="Arial" w:cs="Arial"/>
          <w:color w:val="auto"/>
          <w:sz w:val="20"/>
          <w:szCs w:val="20"/>
        </w:rPr>
        <w:t xml:space="preserve"> XI ZR 309/16</w:t>
      </w:r>
    </w:p>
    <w:p w:rsidR="005F36B4" w:rsidRPr="005F36B4" w:rsidRDefault="005F36B4" w:rsidP="005F36B4">
      <w:pPr>
        <w:pStyle w:val="berschrift4"/>
        <w:spacing w:after="0"/>
        <w:jc w:val="both"/>
        <w:rPr>
          <w:rFonts w:ascii="Arial" w:hAnsi="Arial" w:cs="Arial"/>
          <w:color w:val="auto"/>
          <w:sz w:val="20"/>
          <w:szCs w:val="20"/>
        </w:rPr>
      </w:pPr>
    </w:p>
    <w:p w:rsidR="00A00A28" w:rsidRPr="005F36B4" w:rsidRDefault="00A00A28" w:rsidP="005F36B4">
      <w:pPr>
        <w:rPr>
          <w:rFonts w:ascii="Arial" w:hAnsi="Arial" w:cs="Arial"/>
          <w:sz w:val="20"/>
          <w:szCs w:val="20"/>
        </w:rPr>
      </w:pPr>
      <w:r w:rsidRPr="005F36B4">
        <w:rPr>
          <w:rFonts w:ascii="Arial" w:hAnsi="Arial" w:cs="Arial"/>
          <w:sz w:val="20"/>
          <w:szCs w:val="20"/>
        </w:rPr>
        <w:t>Die in den Allgemeinen Geschäftsbedingungen einer Sparkasse enthaltene Bestimmung</w:t>
      </w:r>
    </w:p>
    <w:p w:rsidR="00A00A28" w:rsidRDefault="00A00A28" w:rsidP="005F36B4">
      <w:pPr>
        <w:rPr>
          <w:rFonts w:ascii="Arial" w:hAnsi="Arial" w:cs="Arial"/>
          <w:sz w:val="20"/>
          <w:szCs w:val="20"/>
        </w:rPr>
      </w:pPr>
      <w:r w:rsidRPr="005F36B4">
        <w:rPr>
          <w:rFonts w:ascii="Arial" w:hAnsi="Arial" w:cs="Arial"/>
          <w:sz w:val="20"/>
          <w:szCs w:val="20"/>
        </w:rPr>
        <w:t>"Nummer 11 Aufrechnung und Verrechnung (1) Aufrechnung durch den Kunden Der Kunde darf Forderungen gegen die Sparkasse nur insoweit aufrechnen, als seine Forderungen unbestritten oder rechtskräftig festgestellt sind." ist im Verkehr mit Verbrauc</w:t>
      </w:r>
      <w:r w:rsidR="005F36B4" w:rsidRPr="005F36B4">
        <w:rPr>
          <w:rFonts w:ascii="Arial" w:hAnsi="Arial" w:cs="Arial"/>
          <w:sz w:val="20"/>
          <w:szCs w:val="20"/>
        </w:rPr>
        <w:t xml:space="preserve">hern gemäß § 307 Abs. 1 Satz 1 </w:t>
      </w:r>
      <w:r w:rsidRPr="005F36B4">
        <w:rPr>
          <w:rFonts w:ascii="Arial" w:hAnsi="Arial" w:cs="Arial"/>
          <w:sz w:val="20"/>
          <w:szCs w:val="20"/>
        </w:rPr>
        <w:t>Abs. 2 Nr. 1 BGB unwirksam.</w:t>
      </w:r>
    </w:p>
    <w:p w:rsidR="00205FDC" w:rsidRDefault="00205FDC">
      <w:pPr>
        <w:spacing w:after="160" w:line="259" w:lineRule="auto"/>
        <w:rPr>
          <w:rFonts w:ascii="Arial" w:hAnsi="Arial" w:cs="Arial"/>
          <w:sz w:val="20"/>
          <w:szCs w:val="20"/>
        </w:rPr>
      </w:pPr>
      <w:r>
        <w:rPr>
          <w:rFonts w:ascii="Arial" w:hAnsi="Arial" w:cs="Arial"/>
          <w:sz w:val="20"/>
          <w:szCs w:val="20"/>
        </w:rPr>
        <w:br w:type="page"/>
      </w:r>
    </w:p>
    <w:p w:rsidR="00205FDC" w:rsidRDefault="00205FDC" w:rsidP="005F36B4">
      <w:pPr>
        <w:rPr>
          <w:rFonts w:ascii="Arial" w:hAnsi="Arial" w:cs="Arial"/>
          <w:sz w:val="20"/>
          <w:szCs w:val="20"/>
        </w:rPr>
      </w:pPr>
    </w:p>
    <w:p w:rsidR="00205FDC" w:rsidRPr="00205FDC" w:rsidRDefault="00205FDC" w:rsidP="00205FDC">
      <w:pPr>
        <w:jc w:val="center"/>
        <w:rPr>
          <w:rFonts w:ascii="Arial" w:hAnsi="Arial" w:cs="Arial"/>
          <w:b/>
          <w:sz w:val="20"/>
          <w:szCs w:val="20"/>
        </w:rPr>
      </w:pPr>
      <w:r w:rsidRPr="00205FDC">
        <w:rPr>
          <w:rFonts w:ascii="Arial" w:hAnsi="Arial" w:cs="Arial"/>
          <w:b/>
          <w:sz w:val="20"/>
          <w:szCs w:val="20"/>
        </w:rPr>
        <w:t>X.</w:t>
      </w:r>
    </w:p>
    <w:p w:rsidR="00205FDC" w:rsidRPr="00205FDC" w:rsidRDefault="00205FDC" w:rsidP="00205FDC">
      <w:pPr>
        <w:jc w:val="center"/>
        <w:rPr>
          <w:rFonts w:ascii="Arial" w:hAnsi="Arial" w:cs="Arial"/>
          <w:b/>
          <w:sz w:val="20"/>
          <w:szCs w:val="20"/>
        </w:rPr>
      </w:pPr>
      <w:r w:rsidRPr="00205FDC">
        <w:rPr>
          <w:rFonts w:ascii="Arial" w:hAnsi="Arial" w:cs="Arial"/>
          <w:b/>
          <w:sz w:val="20"/>
          <w:szCs w:val="20"/>
        </w:rPr>
        <w:t>Haftung des Erwerbers für die Sonderumlage</w:t>
      </w:r>
    </w:p>
    <w:p w:rsidR="00205FDC" w:rsidRPr="00205FDC" w:rsidRDefault="00205FDC" w:rsidP="00205FDC">
      <w:pPr>
        <w:rPr>
          <w:rFonts w:ascii="Arial" w:hAnsi="Arial" w:cs="Arial"/>
          <w:sz w:val="20"/>
          <w:szCs w:val="20"/>
        </w:rPr>
      </w:pPr>
    </w:p>
    <w:p w:rsidR="00205FDC" w:rsidRPr="00205FDC" w:rsidRDefault="00205FDC" w:rsidP="00205FDC">
      <w:pPr>
        <w:jc w:val="both"/>
        <w:rPr>
          <w:rFonts w:ascii="Arial" w:hAnsi="Arial" w:cs="Arial"/>
          <w:sz w:val="20"/>
          <w:szCs w:val="20"/>
        </w:rPr>
      </w:pPr>
      <w:r w:rsidRPr="00205FDC">
        <w:rPr>
          <w:rFonts w:ascii="Arial" w:hAnsi="Arial" w:cs="Arial"/>
          <w:sz w:val="20"/>
          <w:szCs w:val="20"/>
        </w:rPr>
        <w:t>Der Erwerber von Wohnungs- oder Teileigentum haftet für eine nach dem Eigentumswechsel fällig werdende Sonderumlage, auch wenn deren Erhebung vor dem Eigentumswechsel beschlossen wurde (Fortführung von Senat, Beschluss vom 21. April 1988 - V ZB 10/87, BGHZ 104, 197).</w:t>
      </w:r>
    </w:p>
    <w:p w:rsidR="00205FDC" w:rsidRPr="00205FDC" w:rsidRDefault="00205FDC" w:rsidP="00205FDC">
      <w:pPr>
        <w:jc w:val="both"/>
        <w:rPr>
          <w:rFonts w:ascii="Arial" w:hAnsi="Arial" w:cs="Arial"/>
          <w:sz w:val="20"/>
          <w:szCs w:val="20"/>
        </w:rPr>
      </w:pPr>
    </w:p>
    <w:p w:rsidR="00205FDC" w:rsidRPr="00205FDC" w:rsidRDefault="00205FDC" w:rsidP="00205FDC">
      <w:pPr>
        <w:jc w:val="both"/>
        <w:rPr>
          <w:rFonts w:ascii="Arial" w:hAnsi="Arial" w:cs="Arial"/>
          <w:sz w:val="20"/>
          <w:szCs w:val="20"/>
        </w:rPr>
      </w:pPr>
      <w:r w:rsidRPr="00205FDC">
        <w:rPr>
          <w:rFonts w:ascii="Arial" w:hAnsi="Arial" w:cs="Arial"/>
          <w:sz w:val="20"/>
          <w:szCs w:val="20"/>
        </w:rPr>
        <w:t>Die anteiligen Beiträge der Wohnungseigentümer zu einer Sonderumlage werden erst mit Abruf durch den Verwalter fällig. Sollen die Beiträge abweichend von § 28 Abs. 2 WEG sofort fällig werden, bedarf es einer ausdrücklichen Regelung in dem Beschluss über die Erhebung der Sonderumlage.</w:t>
      </w:r>
    </w:p>
    <w:p w:rsidR="00205FDC" w:rsidRDefault="00205FDC" w:rsidP="005F36B4">
      <w:pPr>
        <w:rPr>
          <w:rFonts w:ascii="Arial" w:hAnsi="Arial" w:cs="Arial"/>
          <w:sz w:val="20"/>
          <w:szCs w:val="20"/>
        </w:rPr>
      </w:pPr>
    </w:p>
    <w:p w:rsidR="00205FDC" w:rsidRDefault="00205FDC" w:rsidP="005F36B4">
      <w:pPr>
        <w:rPr>
          <w:rFonts w:ascii="Arial" w:hAnsi="Arial" w:cs="Arial"/>
          <w:sz w:val="20"/>
          <w:szCs w:val="20"/>
        </w:rPr>
      </w:pPr>
    </w:p>
    <w:p w:rsidR="00205FDC" w:rsidRPr="00205FDC" w:rsidRDefault="00205FDC" w:rsidP="00205FDC">
      <w:pPr>
        <w:rPr>
          <w:rFonts w:ascii="Arial" w:hAnsi="Arial"/>
          <w:sz w:val="20"/>
          <w:szCs w:val="20"/>
        </w:rPr>
      </w:pPr>
      <w:r w:rsidRPr="00205FDC">
        <w:rPr>
          <w:rFonts w:ascii="Arial" w:hAnsi="Arial"/>
          <w:sz w:val="20"/>
          <w:szCs w:val="20"/>
        </w:rPr>
        <w:t>Für Rückfragen stehe ich Ihnen gerne zur Verfügung.</w:t>
      </w:r>
    </w:p>
    <w:p w:rsidR="00205FDC" w:rsidRPr="00205FDC" w:rsidRDefault="00205FDC" w:rsidP="00205FDC">
      <w:pPr>
        <w:rPr>
          <w:rFonts w:ascii="Arial" w:hAnsi="Arial"/>
          <w:sz w:val="20"/>
          <w:szCs w:val="20"/>
        </w:rPr>
      </w:pPr>
    </w:p>
    <w:p w:rsidR="00205FDC" w:rsidRPr="00205FDC" w:rsidRDefault="00205FDC" w:rsidP="00205FDC">
      <w:pPr>
        <w:rPr>
          <w:rFonts w:ascii="Arial" w:hAnsi="Arial"/>
          <w:sz w:val="20"/>
          <w:szCs w:val="20"/>
        </w:rPr>
      </w:pPr>
    </w:p>
    <w:p w:rsidR="00205FDC" w:rsidRPr="00205FDC" w:rsidRDefault="00205FDC" w:rsidP="00205FDC">
      <w:pPr>
        <w:rPr>
          <w:rFonts w:ascii="Arial" w:hAnsi="Arial"/>
          <w:sz w:val="20"/>
          <w:szCs w:val="20"/>
        </w:rPr>
      </w:pPr>
      <w:r w:rsidRPr="00205FDC">
        <w:rPr>
          <w:rFonts w:ascii="Arial" w:hAnsi="Arial"/>
          <w:sz w:val="20"/>
          <w:szCs w:val="20"/>
        </w:rPr>
        <w:t>Michael Henn</w:t>
      </w:r>
    </w:p>
    <w:p w:rsidR="00205FDC" w:rsidRPr="00205FDC" w:rsidRDefault="00205FDC" w:rsidP="00205FDC">
      <w:pPr>
        <w:rPr>
          <w:rFonts w:ascii="Arial" w:hAnsi="Arial"/>
          <w:sz w:val="20"/>
          <w:szCs w:val="20"/>
        </w:rPr>
      </w:pPr>
      <w:r w:rsidRPr="00205FDC">
        <w:rPr>
          <w:rFonts w:ascii="Arial" w:hAnsi="Arial"/>
          <w:sz w:val="20"/>
          <w:szCs w:val="20"/>
        </w:rPr>
        <w:t>Rechtsanwalt</w:t>
      </w:r>
    </w:p>
    <w:p w:rsidR="00205FDC" w:rsidRPr="00205FDC" w:rsidRDefault="00205FDC" w:rsidP="00205FDC">
      <w:pPr>
        <w:rPr>
          <w:rFonts w:ascii="Arial" w:hAnsi="Arial"/>
          <w:sz w:val="20"/>
          <w:szCs w:val="20"/>
        </w:rPr>
      </w:pPr>
      <w:r w:rsidRPr="00205FDC">
        <w:rPr>
          <w:rFonts w:ascii="Arial" w:hAnsi="Arial"/>
          <w:sz w:val="20"/>
          <w:szCs w:val="20"/>
        </w:rPr>
        <w:t>Fachanwalt für Erbrecht</w:t>
      </w:r>
    </w:p>
    <w:p w:rsidR="00205FDC" w:rsidRPr="00205FDC" w:rsidRDefault="00205FDC" w:rsidP="00205FDC">
      <w:pPr>
        <w:rPr>
          <w:rFonts w:ascii="Arial" w:hAnsi="Arial"/>
          <w:sz w:val="20"/>
          <w:szCs w:val="20"/>
        </w:rPr>
      </w:pPr>
      <w:r w:rsidRPr="00205FDC">
        <w:rPr>
          <w:rFonts w:ascii="Arial" w:hAnsi="Arial"/>
          <w:sz w:val="20"/>
          <w:szCs w:val="20"/>
        </w:rPr>
        <w:t xml:space="preserve">Fachanwalt für Arbeitsrecht </w:t>
      </w:r>
    </w:p>
    <w:p w:rsidR="00205FDC" w:rsidRPr="00205FDC" w:rsidRDefault="00205FDC" w:rsidP="00205FDC">
      <w:pPr>
        <w:rPr>
          <w:rFonts w:ascii="Arial" w:hAnsi="Arial"/>
          <w:sz w:val="20"/>
          <w:szCs w:val="20"/>
        </w:rPr>
      </w:pPr>
      <w:r w:rsidRPr="00205FDC">
        <w:rPr>
          <w:rFonts w:ascii="Arial" w:hAnsi="Arial"/>
          <w:sz w:val="20"/>
          <w:szCs w:val="20"/>
        </w:rPr>
        <w:t xml:space="preserve">Schriftleiter mittelstandsdepesche </w:t>
      </w:r>
    </w:p>
    <w:p w:rsidR="00205FDC" w:rsidRPr="00205FDC" w:rsidRDefault="00205FDC" w:rsidP="00205FDC">
      <w:pPr>
        <w:rPr>
          <w:rFonts w:ascii="Arial" w:hAnsi="Arial"/>
          <w:sz w:val="20"/>
          <w:szCs w:val="20"/>
        </w:rPr>
      </w:pPr>
      <w:r w:rsidRPr="00205FDC">
        <w:rPr>
          <w:rFonts w:ascii="Arial" w:hAnsi="Arial"/>
          <w:sz w:val="20"/>
          <w:szCs w:val="20"/>
        </w:rPr>
        <w:t>Rechtsanwälte Dr. Gaupp &amp; Coll.</w:t>
      </w:r>
    </w:p>
    <w:p w:rsidR="00205FDC" w:rsidRPr="00205FDC" w:rsidRDefault="00205FDC" w:rsidP="00205FDC">
      <w:pPr>
        <w:rPr>
          <w:rFonts w:ascii="Arial" w:hAnsi="Arial"/>
          <w:sz w:val="20"/>
          <w:szCs w:val="20"/>
        </w:rPr>
      </w:pPr>
      <w:r w:rsidRPr="00205FDC">
        <w:rPr>
          <w:rFonts w:ascii="Arial" w:hAnsi="Arial"/>
          <w:sz w:val="20"/>
          <w:szCs w:val="20"/>
        </w:rPr>
        <w:t xml:space="preserve">Kronprinzstr. 14 </w:t>
      </w:r>
    </w:p>
    <w:p w:rsidR="00205FDC" w:rsidRPr="00205FDC" w:rsidRDefault="00205FDC" w:rsidP="00205FDC">
      <w:pPr>
        <w:rPr>
          <w:rFonts w:ascii="Arial" w:hAnsi="Arial"/>
          <w:sz w:val="20"/>
          <w:szCs w:val="20"/>
        </w:rPr>
      </w:pPr>
      <w:r w:rsidRPr="00205FDC">
        <w:rPr>
          <w:rFonts w:ascii="Arial" w:hAnsi="Arial"/>
          <w:sz w:val="20"/>
          <w:szCs w:val="20"/>
        </w:rPr>
        <w:t>70173 Stuttgart</w:t>
      </w:r>
    </w:p>
    <w:p w:rsidR="00205FDC" w:rsidRPr="00205FDC" w:rsidRDefault="00205FDC" w:rsidP="00205FDC">
      <w:pPr>
        <w:rPr>
          <w:rFonts w:ascii="Arial" w:hAnsi="Arial"/>
          <w:sz w:val="20"/>
          <w:szCs w:val="20"/>
        </w:rPr>
      </w:pPr>
      <w:r w:rsidRPr="00205FDC">
        <w:rPr>
          <w:rFonts w:ascii="Arial" w:hAnsi="Arial"/>
          <w:sz w:val="20"/>
          <w:szCs w:val="20"/>
        </w:rPr>
        <w:t>Tel.: 0711/ 30 58 93-0</w:t>
      </w:r>
      <w:r w:rsidRPr="00205FDC">
        <w:rPr>
          <w:rFonts w:ascii="Arial" w:hAnsi="Arial"/>
          <w:sz w:val="20"/>
          <w:szCs w:val="20"/>
        </w:rPr>
        <w:tab/>
      </w:r>
      <w:r w:rsidRPr="00205FDC">
        <w:rPr>
          <w:rFonts w:ascii="Arial" w:hAnsi="Arial"/>
          <w:sz w:val="20"/>
          <w:szCs w:val="20"/>
        </w:rPr>
        <w:tab/>
        <w:t>Fax: 0711/ 30 58 93-11</w:t>
      </w:r>
    </w:p>
    <w:p w:rsidR="00205FDC" w:rsidRDefault="00205FDC" w:rsidP="00205FDC">
      <w:pPr>
        <w:rPr>
          <w:rFonts w:ascii="Arial" w:hAnsi="Arial"/>
          <w:sz w:val="20"/>
          <w:szCs w:val="20"/>
        </w:rPr>
      </w:pPr>
      <w:r w:rsidRPr="00205FDC">
        <w:rPr>
          <w:rFonts w:ascii="Arial" w:hAnsi="Arial"/>
          <w:sz w:val="20"/>
          <w:szCs w:val="20"/>
        </w:rPr>
        <w:t xml:space="preserve">E-Mail: </w:t>
      </w:r>
      <w:hyperlink r:id="rId6" w:history="1">
        <w:r w:rsidRPr="005C7ACD">
          <w:rPr>
            <w:rStyle w:val="Hyperlink"/>
            <w:rFonts w:ascii="Arial" w:hAnsi="Arial"/>
            <w:sz w:val="20"/>
            <w:szCs w:val="20"/>
          </w:rPr>
          <w:t>henn@drgaupp.de</w:t>
        </w:r>
      </w:hyperlink>
      <w:r w:rsidRPr="00205FDC">
        <w:rPr>
          <w:rFonts w:ascii="Arial" w:hAnsi="Arial"/>
          <w:sz w:val="20"/>
          <w:szCs w:val="20"/>
        </w:rPr>
        <w:tab/>
      </w:r>
      <w:hyperlink r:id="rId7" w:history="1">
        <w:r w:rsidRPr="005C7ACD">
          <w:rPr>
            <w:rStyle w:val="Hyperlink"/>
            <w:rFonts w:ascii="Arial" w:hAnsi="Arial"/>
            <w:sz w:val="20"/>
            <w:szCs w:val="20"/>
          </w:rPr>
          <w:t>www.drgaupp.de</w:t>
        </w:r>
      </w:hyperlink>
    </w:p>
    <w:p w:rsidR="00205FDC" w:rsidRPr="00205FDC" w:rsidRDefault="00205FDC" w:rsidP="00205FDC">
      <w:pPr>
        <w:rPr>
          <w:rFonts w:ascii="Arial" w:hAnsi="Arial"/>
          <w:sz w:val="20"/>
          <w:szCs w:val="20"/>
        </w:rPr>
      </w:pPr>
    </w:p>
    <w:p w:rsidR="00205FDC" w:rsidRPr="005F36B4" w:rsidRDefault="00205FDC" w:rsidP="005F36B4">
      <w:pPr>
        <w:rPr>
          <w:rFonts w:ascii="Arial" w:hAnsi="Arial" w:cs="Arial"/>
          <w:sz w:val="20"/>
          <w:szCs w:val="20"/>
        </w:rPr>
      </w:pPr>
    </w:p>
    <w:sectPr w:rsidR="00205FDC" w:rsidRPr="005F36B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E2" w:rsidRDefault="009527E2" w:rsidP="00F1355A">
      <w:r>
        <w:separator/>
      </w:r>
    </w:p>
  </w:endnote>
  <w:endnote w:type="continuationSeparator" w:id="0">
    <w:p w:rsidR="009527E2" w:rsidRDefault="009527E2" w:rsidP="00F1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E2" w:rsidRDefault="009527E2" w:rsidP="00F1355A">
      <w:r>
        <w:separator/>
      </w:r>
    </w:p>
  </w:footnote>
  <w:footnote w:type="continuationSeparator" w:id="0">
    <w:p w:rsidR="009527E2" w:rsidRDefault="009527E2" w:rsidP="00F1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5A" w:rsidRPr="00F1355A" w:rsidRDefault="00F1355A" w:rsidP="00F1355A">
    <w:pPr>
      <w:tabs>
        <w:tab w:val="center" w:pos="4819"/>
        <w:tab w:val="right" w:pos="9071"/>
      </w:tabs>
      <w:jc w:val="center"/>
      <w:rPr>
        <w:rFonts w:ascii="Arial" w:hAnsi="Arial" w:cs="Arial"/>
        <w:sz w:val="24"/>
        <w:szCs w:val="20"/>
        <w:lang w:val="en-US" w:eastAsia="de-DE"/>
      </w:rPr>
    </w:pPr>
    <w:r w:rsidRPr="00F1355A">
      <w:rPr>
        <w:rFonts w:ascii="Arial" w:hAnsi="Arial" w:cs="Arial"/>
        <w:b/>
        <w:bCs/>
        <w:sz w:val="28"/>
        <w:szCs w:val="28"/>
        <w:lang w:val="en-US" w:eastAsia="de-DE"/>
      </w:rPr>
      <w:t>mittelstandsdepesche 0</w:t>
    </w:r>
    <w:r>
      <w:rPr>
        <w:rFonts w:ascii="Arial" w:hAnsi="Arial" w:cs="Arial"/>
        <w:b/>
        <w:bCs/>
        <w:sz w:val="28"/>
        <w:szCs w:val="28"/>
        <w:lang w:val="en-US" w:eastAsia="de-DE"/>
      </w:rPr>
      <w:t>5</w:t>
    </w:r>
    <w:r w:rsidRPr="00F1355A">
      <w:rPr>
        <w:rFonts w:ascii="Arial" w:hAnsi="Arial" w:cs="Arial"/>
        <w:b/>
        <w:bCs/>
        <w:sz w:val="28"/>
        <w:szCs w:val="28"/>
        <w:lang w:val="en-US"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44"/>
    <w:rsid w:val="00205FDC"/>
    <w:rsid w:val="005A3FA7"/>
    <w:rsid w:val="005C7ACD"/>
    <w:rsid w:val="005F36B4"/>
    <w:rsid w:val="006E4011"/>
    <w:rsid w:val="008E3220"/>
    <w:rsid w:val="009527E2"/>
    <w:rsid w:val="00A00A28"/>
    <w:rsid w:val="00A77C24"/>
    <w:rsid w:val="00B91165"/>
    <w:rsid w:val="00B94A82"/>
    <w:rsid w:val="00C939D6"/>
    <w:rsid w:val="00D32887"/>
    <w:rsid w:val="00DA3244"/>
    <w:rsid w:val="00E657B7"/>
    <w:rsid w:val="00EC6D5D"/>
    <w:rsid w:val="00F135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46029E-6470-41A3-BEE7-EAB888E0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244"/>
    <w:pPr>
      <w:spacing w:after="0" w:line="240" w:lineRule="auto"/>
    </w:pPr>
    <w:rPr>
      <w:rFonts w:ascii="Calibri" w:hAnsi="Calibri" w:cs="Times New Roman"/>
    </w:rPr>
  </w:style>
  <w:style w:type="paragraph" w:styleId="berschrift3">
    <w:name w:val="heading 3"/>
    <w:basedOn w:val="Standard"/>
    <w:link w:val="berschrift3Zchn"/>
    <w:uiPriority w:val="9"/>
    <w:semiHidden/>
    <w:unhideWhenUsed/>
    <w:qFormat/>
    <w:rsid w:val="008E3220"/>
    <w:pPr>
      <w:spacing w:after="75" w:line="240" w:lineRule="atLeast"/>
      <w:outlineLvl w:val="2"/>
    </w:pPr>
    <w:rPr>
      <w:rFonts w:ascii="Times New Roman" w:hAnsi="Times New Roman"/>
      <w:b/>
      <w:bCs/>
      <w:sz w:val="24"/>
      <w:szCs w:val="24"/>
      <w:lang w:eastAsia="de-DE"/>
    </w:rPr>
  </w:style>
  <w:style w:type="paragraph" w:styleId="berschrift4">
    <w:name w:val="heading 4"/>
    <w:basedOn w:val="Standard"/>
    <w:link w:val="berschrift4Zchn"/>
    <w:uiPriority w:val="9"/>
    <w:semiHidden/>
    <w:unhideWhenUsed/>
    <w:qFormat/>
    <w:rsid w:val="008E3220"/>
    <w:pPr>
      <w:spacing w:after="150"/>
      <w:outlineLvl w:val="3"/>
    </w:pPr>
    <w:rPr>
      <w:rFonts w:ascii="Times New Roman" w:hAnsi="Times New Roman"/>
      <w:color w:val="666666"/>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locked/>
    <w:rsid w:val="008E3220"/>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8E3220"/>
    <w:rPr>
      <w:rFonts w:ascii="Times New Roman" w:hAnsi="Times New Roman" w:cs="Times New Roman"/>
      <w:color w:val="666666"/>
      <w:sz w:val="21"/>
      <w:szCs w:val="21"/>
      <w:lang w:val="x-none" w:eastAsia="de-DE"/>
    </w:rPr>
  </w:style>
  <w:style w:type="paragraph" w:styleId="Kopfzeile">
    <w:name w:val="header"/>
    <w:basedOn w:val="Standard"/>
    <w:link w:val="KopfzeileZchn"/>
    <w:uiPriority w:val="99"/>
    <w:unhideWhenUsed/>
    <w:rsid w:val="00F1355A"/>
    <w:pPr>
      <w:tabs>
        <w:tab w:val="center" w:pos="4536"/>
        <w:tab w:val="right" w:pos="9072"/>
      </w:tabs>
    </w:pPr>
  </w:style>
  <w:style w:type="character" w:customStyle="1" w:styleId="KopfzeileZchn">
    <w:name w:val="Kopfzeile Zchn"/>
    <w:basedOn w:val="Absatz-Standardschriftart"/>
    <w:link w:val="Kopfzeile"/>
    <w:uiPriority w:val="99"/>
    <w:locked/>
    <w:rsid w:val="00F1355A"/>
    <w:rPr>
      <w:rFonts w:ascii="Calibri" w:hAnsi="Calibri" w:cs="Times New Roman"/>
    </w:rPr>
  </w:style>
  <w:style w:type="paragraph" w:styleId="Fuzeile">
    <w:name w:val="footer"/>
    <w:basedOn w:val="Standard"/>
    <w:link w:val="FuzeileZchn"/>
    <w:uiPriority w:val="99"/>
    <w:unhideWhenUsed/>
    <w:rsid w:val="00F1355A"/>
    <w:pPr>
      <w:tabs>
        <w:tab w:val="center" w:pos="4536"/>
        <w:tab w:val="right" w:pos="9072"/>
      </w:tabs>
    </w:pPr>
  </w:style>
  <w:style w:type="character" w:customStyle="1" w:styleId="FuzeileZchn">
    <w:name w:val="Fußzeile Zchn"/>
    <w:basedOn w:val="Absatz-Standardschriftart"/>
    <w:link w:val="Fuzeile"/>
    <w:uiPriority w:val="99"/>
    <w:locked/>
    <w:rsid w:val="00F1355A"/>
    <w:rPr>
      <w:rFonts w:ascii="Calibri" w:hAnsi="Calibri" w:cs="Times New Roman"/>
    </w:rPr>
  </w:style>
  <w:style w:type="paragraph" w:styleId="Listenabsatz">
    <w:name w:val="List Paragraph"/>
    <w:basedOn w:val="Standard"/>
    <w:uiPriority w:val="34"/>
    <w:qFormat/>
    <w:rsid w:val="00A00A28"/>
    <w:pPr>
      <w:ind w:left="720"/>
      <w:contextualSpacing/>
    </w:pPr>
  </w:style>
  <w:style w:type="character" w:styleId="Hyperlink">
    <w:name w:val="Hyperlink"/>
    <w:basedOn w:val="Absatz-Standardschriftart"/>
    <w:uiPriority w:val="99"/>
    <w:unhideWhenUsed/>
    <w:rsid w:val="00205FD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054143">
      <w:marLeft w:val="0"/>
      <w:marRight w:val="0"/>
      <w:marTop w:val="0"/>
      <w:marBottom w:val="0"/>
      <w:divBdr>
        <w:top w:val="none" w:sz="0" w:space="0" w:color="auto"/>
        <w:left w:val="none" w:sz="0" w:space="0" w:color="auto"/>
        <w:bottom w:val="none" w:sz="0" w:space="0" w:color="auto"/>
        <w:right w:val="none" w:sz="0" w:space="0" w:color="auto"/>
      </w:divBdr>
    </w:div>
    <w:div w:id="1953054144">
      <w:marLeft w:val="0"/>
      <w:marRight w:val="0"/>
      <w:marTop w:val="0"/>
      <w:marBottom w:val="0"/>
      <w:divBdr>
        <w:top w:val="none" w:sz="0" w:space="0" w:color="auto"/>
        <w:left w:val="none" w:sz="0" w:space="0" w:color="auto"/>
        <w:bottom w:val="none" w:sz="0" w:space="0" w:color="auto"/>
        <w:right w:val="none" w:sz="0" w:space="0" w:color="auto"/>
      </w:divBdr>
    </w:div>
    <w:div w:id="1953054145">
      <w:marLeft w:val="0"/>
      <w:marRight w:val="0"/>
      <w:marTop w:val="0"/>
      <w:marBottom w:val="0"/>
      <w:divBdr>
        <w:top w:val="none" w:sz="0" w:space="0" w:color="auto"/>
        <w:left w:val="none" w:sz="0" w:space="0" w:color="auto"/>
        <w:bottom w:val="none" w:sz="0" w:space="0" w:color="auto"/>
        <w:right w:val="none" w:sz="0" w:space="0" w:color="auto"/>
      </w:divBdr>
    </w:div>
    <w:div w:id="1953054146">
      <w:marLeft w:val="0"/>
      <w:marRight w:val="0"/>
      <w:marTop w:val="0"/>
      <w:marBottom w:val="0"/>
      <w:divBdr>
        <w:top w:val="none" w:sz="0" w:space="0" w:color="auto"/>
        <w:left w:val="none" w:sz="0" w:space="0" w:color="auto"/>
        <w:bottom w:val="none" w:sz="0" w:space="0" w:color="auto"/>
        <w:right w:val="none" w:sz="0" w:space="0" w:color="auto"/>
      </w:divBdr>
    </w:div>
    <w:div w:id="1953054147">
      <w:marLeft w:val="0"/>
      <w:marRight w:val="0"/>
      <w:marTop w:val="0"/>
      <w:marBottom w:val="0"/>
      <w:divBdr>
        <w:top w:val="none" w:sz="0" w:space="0" w:color="auto"/>
        <w:left w:val="none" w:sz="0" w:space="0" w:color="auto"/>
        <w:bottom w:val="none" w:sz="0" w:space="0" w:color="auto"/>
        <w:right w:val="none" w:sz="0" w:space="0" w:color="auto"/>
      </w:divBdr>
    </w:div>
    <w:div w:id="1953054148">
      <w:marLeft w:val="0"/>
      <w:marRight w:val="0"/>
      <w:marTop w:val="0"/>
      <w:marBottom w:val="0"/>
      <w:divBdr>
        <w:top w:val="none" w:sz="0" w:space="0" w:color="auto"/>
        <w:left w:val="none" w:sz="0" w:space="0" w:color="auto"/>
        <w:bottom w:val="none" w:sz="0" w:space="0" w:color="auto"/>
        <w:right w:val="none" w:sz="0" w:space="0" w:color="auto"/>
      </w:divBdr>
    </w:div>
    <w:div w:id="1953054149">
      <w:marLeft w:val="0"/>
      <w:marRight w:val="0"/>
      <w:marTop w:val="0"/>
      <w:marBottom w:val="0"/>
      <w:divBdr>
        <w:top w:val="none" w:sz="0" w:space="0" w:color="auto"/>
        <w:left w:val="none" w:sz="0" w:space="0" w:color="auto"/>
        <w:bottom w:val="none" w:sz="0" w:space="0" w:color="auto"/>
        <w:right w:val="none" w:sz="0" w:space="0" w:color="auto"/>
      </w:divBdr>
    </w:div>
    <w:div w:id="1953054150">
      <w:marLeft w:val="0"/>
      <w:marRight w:val="0"/>
      <w:marTop w:val="0"/>
      <w:marBottom w:val="0"/>
      <w:divBdr>
        <w:top w:val="none" w:sz="0" w:space="0" w:color="auto"/>
        <w:left w:val="none" w:sz="0" w:space="0" w:color="auto"/>
        <w:bottom w:val="none" w:sz="0" w:space="0" w:color="auto"/>
        <w:right w:val="none" w:sz="0" w:space="0" w:color="auto"/>
      </w:divBdr>
    </w:div>
    <w:div w:id="1953054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n@drgaup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3909EC2D.dotm</Template>
  <TotalTime>0</TotalTime>
  <Pages>3</Pages>
  <Words>1035</Words>
  <Characters>6522</Characters>
  <Application>Microsoft Office Word</Application>
  <DocSecurity>0</DocSecurity>
  <Lines>54</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2018-06-05T09:06:00Z</dcterms:created>
  <dcterms:modified xsi:type="dcterms:W3CDTF">2018-06-05T09:06:00Z</dcterms:modified>
</cp:coreProperties>
</file>