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4A" w:rsidRPr="0057205A" w:rsidRDefault="00AF744A" w:rsidP="00AF744A">
      <w:pPr>
        <w:tabs>
          <w:tab w:val="center" w:pos="4536"/>
          <w:tab w:val="right" w:pos="9072"/>
        </w:tabs>
        <w:spacing w:after="0" w:line="240" w:lineRule="auto"/>
        <w:jc w:val="right"/>
        <w:rPr>
          <w:rFonts w:cs="Arial"/>
          <w:sz w:val="24"/>
          <w:szCs w:val="24"/>
          <w:lang w:eastAsia="de-DE"/>
        </w:rPr>
      </w:pPr>
      <w:bookmarkStart w:id="0" w:name="_GoBack"/>
      <w:bookmarkEnd w:id="0"/>
      <w:r w:rsidRPr="0057205A">
        <w:rPr>
          <w:rFonts w:cs="Arial"/>
          <w:b/>
          <w:bCs/>
          <w:sz w:val="40"/>
          <w:szCs w:val="40"/>
          <w:lang w:eastAsia="de-DE"/>
        </w:rPr>
        <w:t>DASV</w:t>
      </w:r>
    </w:p>
    <w:p w:rsidR="00AF744A" w:rsidRPr="0057205A" w:rsidRDefault="00AF744A" w:rsidP="00AF744A">
      <w:pPr>
        <w:spacing w:after="0" w:line="240" w:lineRule="auto"/>
        <w:jc w:val="right"/>
        <w:rPr>
          <w:rFonts w:cs="Arial"/>
          <w:sz w:val="20"/>
          <w:szCs w:val="20"/>
          <w:lang w:eastAsia="de-DE"/>
        </w:rPr>
      </w:pPr>
      <w:bookmarkStart w:id="1" w:name="2"/>
      <w:bookmarkStart w:id="2" w:name="9"/>
      <w:bookmarkEnd w:id="1"/>
      <w:bookmarkEnd w:id="2"/>
      <w:r w:rsidRPr="0057205A">
        <w:rPr>
          <w:rFonts w:cs="Arial"/>
          <w:sz w:val="20"/>
          <w:szCs w:val="20"/>
          <w:lang w:eastAsia="de-DE"/>
        </w:rPr>
        <w:t>Deutsche Anwalts- und</w:t>
      </w:r>
    </w:p>
    <w:p w:rsidR="00AF744A" w:rsidRPr="0057205A" w:rsidRDefault="00AF744A" w:rsidP="00AF744A">
      <w:pPr>
        <w:spacing w:after="0" w:line="240" w:lineRule="auto"/>
        <w:jc w:val="right"/>
        <w:rPr>
          <w:rFonts w:cs="Arial"/>
          <w:sz w:val="20"/>
          <w:szCs w:val="20"/>
          <w:lang w:eastAsia="de-DE"/>
        </w:rPr>
      </w:pPr>
      <w:r w:rsidRPr="0057205A">
        <w:rPr>
          <w:rFonts w:cs="Arial"/>
          <w:sz w:val="20"/>
          <w:szCs w:val="20"/>
          <w:lang w:eastAsia="de-DE"/>
        </w:rPr>
        <w:t>Steuerberatervereinigung</w:t>
      </w:r>
    </w:p>
    <w:p w:rsidR="00AF744A" w:rsidRPr="0057205A" w:rsidRDefault="00AF744A" w:rsidP="00AF744A">
      <w:pPr>
        <w:spacing w:after="0" w:line="240" w:lineRule="auto"/>
        <w:jc w:val="right"/>
        <w:rPr>
          <w:rFonts w:cs="Arial"/>
          <w:sz w:val="20"/>
          <w:szCs w:val="20"/>
          <w:lang w:eastAsia="de-DE"/>
        </w:rPr>
      </w:pPr>
      <w:r w:rsidRPr="0057205A">
        <w:rPr>
          <w:rFonts w:cs="Arial"/>
          <w:sz w:val="20"/>
          <w:szCs w:val="20"/>
          <w:lang w:eastAsia="de-DE"/>
        </w:rPr>
        <w:t>für die mittelständische</w:t>
      </w:r>
    </w:p>
    <w:p w:rsidR="00AF744A" w:rsidRPr="0057205A" w:rsidRDefault="00AF744A" w:rsidP="00AF744A">
      <w:pPr>
        <w:spacing w:after="0" w:line="240" w:lineRule="auto"/>
        <w:jc w:val="right"/>
        <w:rPr>
          <w:rFonts w:cs="Arial"/>
          <w:sz w:val="20"/>
          <w:szCs w:val="20"/>
          <w:lang w:eastAsia="de-DE"/>
        </w:rPr>
      </w:pPr>
      <w:r w:rsidRPr="0057205A">
        <w:rPr>
          <w:rFonts w:cs="Arial"/>
          <w:sz w:val="20"/>
          <w:szCs w:val="20"/>
          <w:lang w:eastAsia="de-DE"/>
        </w:rPr>
        <w:t>Wirtschaft e. V.</w:t>
      </w:r>
    </w:p>
    <w:p w:rsidR="006C2F59" w:rsidRPr="00AF744A" w:rsidRDefault="006C2F59" w:rsidP="00AF744A">
      <w:pPr>
        <w:spacing w:after="0" w:line="360" w:lineRule="auto"/>
        <w:jc w:val="both"/>
        <w:outlineLvl w:val="0"/>
        <w:rPr>
          <w:rFonts w:cs="Arial"/>
          <w:b/>
          <w:bCs/>
          <w:kern w:val="36"/>
          <w:lang w:eastAsia="de-DE"/>
        </w:rPr>
      </w:pPr>
      <w:r w:rsidRPr="00AF744A">
        <w:rPr>
          <w:rFonts w:cs="Arial"/>
          <w:b/>
          <w:bCs/>
          <w:kern w:val="36"/>
          <w:lang w:eastAsia="de-DE"/>
        </w:rPr>
        <w:t xml:space="preserve">Werbeblocker laut BGH zulässig </w:t>
      </w:r>
    </w:p>
    <w:p w:rsidR="00AF744A" w:rsidRPr="00AF744A" w:rsidRDefault="00AF744A" w:rsidP="00AF744A">
      <w:pPr>
        <w:spacing w:after="0" w:line="360" w:lineRule="auto"/>
        <w:jc w:val="both"/>
        <w:outlineLvl w:val="1"/>
        <w:rPr>
          <w:rFonts w:cs="Arial"/>
          <w:bCs/>
          <w:lang w:eastAsia="de-DE"/>
        </w:rPr>
      </w:pPr>
    </w:p>
    <w:p w:rsidR="00AF744A" w:rsidRPr="00CF6856" w:rsidRDefault="00AF744A" w:rsidP="00AF744A">
      <w:pPr>
        <w:spacing w:after="0" w:line="360" w:lineRule="auto"/>
        <w:jc w:val="both"/>
        <w:rPr>
          <w:rFonts w:cs="Arial"/>
          <w:bCs/>
        </w:rPr>
      </w:pPr>
      <w:r w:rsidRPr="00CF6856">
        <w:rPr>
          <w:rFonts w:cs="Arial"/>
          <w:bCs/>
        </w:rPr>
        <w:t>ein Artikel v</w:t>
      </w:r>
      <w:r>
        <w:rPr>
          <w:rFonts w:cs="Arial"/>
          <w:bCs/>
        </w:rPr>
        <w:t xml:space="preserve">on Rechtsanwalt Manfred Wagner und Rechtsanwalt Thorsten Dohmen, </w:t>
      </w:r>
      <w:r w:rsidRPr="00CF6856">
        <w:rPr>
          <w:rFonts w:cs="Arial"/>
          <w:bCs/>
        </w:rPr>
        <w:t>Saarbrücken</w:t>
      </w:r>
    </w:p>
    <w:p w:rsidR="00AF744A" w:rsidRPr="00AF744A" w:rsidRDefault="00AF744A" w:rsidP="00AF744A">
      <w:pPr>
        <w:spacing w:after="0" w:line="360" w:lineRule="auto"/>
        <w:jc w:val="both"/>
        <w:outlineLvl w:val="1"/>
        <w:rPr>
          <w:rFonts w:cs="Arial"/>
          <w:bCs/>
          <w:lang w:eastAsia="de-DE"/>
        </w:rPr>
      </w:pPr>
    </w:p>
    <w:p w:rsidR="006C2F59" w:rsidRPr="00AF744A" w:rsidRDefault="006C2F59" w:rsidP="00AF744A">
      <w:pPr>
        <w:spacing w:after="0" w:line="360" w:lineRule="auto"/>
        <w:jc w:val="both"/>
        <w:outlineLvl w:val="1"/>
        <w:rPr>
          <w:rFonts w:cs="Arial"/>
          <w:b/>
          <w:bCs/>
          <w:lang w:eastAsia="de-DE"/>
        </w:rPr>
      </w:pPr>
      <w:r w:rsidRPr="00AF744A">
        <w:rPr>
          <w:rFonts w:cs="Arial"/>
          <w:b/>
          <w:bCs/>
          <w:lang w:eastAsia="de-DE"/>
        </w:rPr>
        <w:t xml:space="preserve">Mit Urteil vom 19. April 2018 entschied er BGH, dass das Werbeblockerprogramm AdBlock Plus nicht gegen das Gesetz gegen den unlauteren Wettbewerb verstößt und wies eine Klage des Unternehmens Axel Springer zurück. </w:t>
      </w:r>
    </w:p>
    <w:p w:rsidR="00AF744A" w:rsidRDefault="00AF744A" w:rsidP="00AF744A">
      <w:pPr>
        <w:spacing w:after="0" w:line="360" w:lineRule="auto"/>
        <w:jc w:val="both"/>
        <w:rPr>
          <w:rFonts w:cs="Arial"/>
          <w:lang w:eastAsia="de-DE"/>
        </w:rPr>
      </w:pPr>
    </w:p>
    <w:p w:rsidR="00AF744A" w:rsidRDefault="006C2F59" w:rsidP="00AF744A">
      <w:pPr>
        <w:spacing w:after="0" w:line="360" w:lineRule="auto"/>
        <w:jc w:val="both"/>
        <w:rPr>
          <w:rFonts w:cs="Arial"/>
          <w:lang w:eastAsia="de-DE"/>
        </w:rPr>
      </w:pPr>
      <w:r w:rsidRPr="00AF744A">
        <w:rPr>
          <w:rFonts w:cs="Arial"/>
          <w:lang w:eastAsia="de-DE"/>
        </w:rPr>
        <w:t xml:space="preserve">Die Beklagte vertreibt eine Software, welche Werbung auf Internetseiten unterdrückt. Sie bietet Unternehmen die Möglichkeit, in eine „Whitelist“ aufgenommen zu werden, wodurch die Blockade der Werbung aufgehoben wird. Dieses Geschäftsmodell hält die Klägerin, welche ihre redaktionellen Inhalte für die Nutzer kostenlos auf werbefinanzierten Internetseiten zur Verfügung stellt, für unlauter. </w:t>
      </w:r>
    </w:p>
    <w:p w:rsidR="00AF744A" w:rsidRDefault="00AF744A" w:rsidP="00AF744A">
      <w:pPr>
        <w:spacing w:after="0" w:line="360" w:lineRule="auto"/>
        <w:jc w:val="both"/>
        <w:rPr>
          <w:rFonts w:cs="Arial"/>
          <w:lang w:eastAsia="de-DE"/>
        </w:rPr>
      </w:pPr>
    </w:p>
    <w:p w:rsidR="00AF744A" w:rsidRDefault="006C2F59" w:rsidP="00AF744A">
      <w:pPr>
        <w:spacing w:after="0" w:line="360" w:lineRule="auto"/>
        <w:jc w:val="both"/>
        <w:rPr>
          <w:rFonts w:cs="Arial"/>
          <w:lang w:eastAsia="de-DE"/>
        </w:rPr>
      </w:pPr>
      <w:r w:rsidRPr="00AF744A">
        <w:rPr>
          <w:rFonts w:cs="Arial"/>
          <w:lang w:eastAsia="de-DE"/>
        </w:rPr>
        <w:t xml:space="preserve">Der BGH befand nun, dass das Programm AdBlock Plus keine gezielte Behinderung im Sinne des UWG darstellt. Die Beklagte wirke nicht unmittelbar auf das Angebot der Klägerin ein, die mittelbare Beeinträchtigung des Angebots sei jedoch nicht unlauter. Die Klägerin habe zudem die Möglichkeit, Abwehrmaßnahmen gegen den Einsatz des Programms der Beklagten zu ergreifen. So könnten z. B. Nutzer, welche nicht bereit sind, auf den Einsatz des Werbeblockers zu verzichten, von dem Angebot der Klägerin ausgesperrt werden. </w:t>
      </w:r>
    </w:p>
    <w:p w:rsidR="00AF744A" w:rsidRDefault="00AF744A" w:rsidP="00AF744A">
      <w:pPr>
        <w:spacing w:after="0" w:line="360" w:lineRule="auto"/>
        <w:jc w:val="both"/>
        <w:rPr>
          <w:rFonts w:cs="Arial"/>
          <w:lang w:eastAsia="de-DE"/>
        </w:rPr>
      </w:pPr>
    </w:p>
    <w:p w:rsidR="006C2F59" w:rsidRDefault="006C2F59" w:rsidP="00AF744A">
      <w:pPr>
        <w:spacing w:after="0" w:line="360" w:lineRule="auto"/>
        <w:jc w:val="both"/>
        <w:rPr>
          <w:rFonts w:cs="Arial"/>
          <w:lang w:eastAsia="de-DE"/>
        </w:rPr>
      </w:pPr>
      <w:r w:rsidRPr="00AF744A">
        <w:rPr>
          <w:rFonts w:cs="Arial"/>
          <w:lang w:eastAsia="de-DE"/>
        </w:rPr>
        <w:t xml:space="preserve">Auch eine aggressive geschäftliche Handlung gegenüber Unternehmen, welche an der Schaltung von Werbung auf den Internetseiten der Klägerin interessiert sind, sieht der BGH nicht. </w:t>
      </w:r>
    </w:p>
    <w:p w:rsidR="00AF744A" w:rsidRPr="00AF744A" w:rsidRDefault="00AF744A" w:rsidP="00AF744A">
      <w:pPr>
        <w:spacing w:after="0" w:line="360" w:lineRule="auto"/>
        <w:jc w:val="both"/>
        <w:rPr>
          <w:rFonts w:cs="Arial"/>
          <w:lang w:eastAsia="de-DE"/>
        </w:rPr>
      </w:pPr>
    </w:p>
    <w:p w:rsidR="00AF744A" w:rsidRPr="00CF6856" w:rsidRDefault="00AF744A" w:rsidP="00AF744A">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AF744A" w:rsidRPr="00CF6856" w:rsidRDefault="00AF744A" w:rsidP="00AF744A">
      <w:pPr>
        <w:spacing w:after="0" w:line="240" w:lineRule="auto"/>
        <w:jc w:val="center"/>
        <w:rPr>
          <w:rFonts w:cs="Arial"/>
          <w:sz w:val="20"/>
        </w:rPr>
      </w:pPr>
    </w:p>
    <w:p w:rsidR="00AF744A" w:rsidRPr="00CF6856" w:rsidRDefault="00AF744A" w:rsidP="00AF744A">
      <w:pPr>
        <w:spacing w:after="0" w:line="240" w:lineRule="auto"/>
        <w:jc w:val="both"/>
        <w:rPr>
          <w:rFonts w:cs="Arial"/>
          <w:sz w:val="20"/>
        </w:rPr>
      </w:pPr>
    </w:p>
    <w:p w:rsidR="00AF744A" w:rsidRPr="00CF6856" w:rsidRDefault="00AF744A" w:rsidP="00AF744A">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AF744A" w:rsidRPr="00CF6856" w:rsidRDefault="00AF744A" w:rsidP="00AF744A">
      <w:pPr>
        <w:spacing w:after="0" w:line="240" w:lineRule="auto"/>
        <w:jc w:val="both"/>
        <w:rPr>
          <w:rFonts w:cs="Arial"/>
          <w:sz w:val="20"/>
        </w:rPr>
      </w:pPr>
    </w:p>
    <w:p w:rsidR="00AF744A" w:rsidRPr="00CF6856" w:rsidRDefault="00AF744A" w:rsidP="00AF744A">
      <w:pPr>
        <w:spacing w:after="0" w:line="240" w:lineRule="auto"/>
        <w:jc w:val="both"/>
        <w:rPr>
          <w:rFonts w:cs="Arial"/>
          <w:sz w:val="20"/>
        </w:rPr>
      </w:pPr>
      <w:r w:rsidRPr="00CF6856">
        <w:rPr>
          <w:rFonts w:cs="Arial"/>
          <w:sz w:val="20"/>
        </w:rPr>
        <w:t>Rechtsanwalt Manfred Wagner</w:t>
      </w:r>
    </w:p>
    <w:p w:rsidR="00AF744A" w:rsidRPr="00421A75" w:rsidRDefault="00AF744A" w:rsidP="00AF744A">
      <w:pPr>
        <w:spacing w:after="0" w:line="240" w:lineRule="auto"/>
        <w:jc w:val="both"/>
        <w:rPr>
          <w:rFonts w:cs="Arial"/>
          <w:bCs/>
          <w:sz w:val="20"/>
        </w:rPr>
      </w:pPr>
      <w:r w:rsidRPr="00421A75">
        <w:rPr>
          <w:rFonts w:cs="Arial"/>
          <w:bCs/>
          <w:sz w:val="20"/>
        </w:rPr>
        <w:t>WAGNER webvocat® Rechtsanwaltsgesellschaft mbH</w:t>
      </w:r>
    </w:p>
    <w:p w:rsidR="00AF744A" w:rsidRPr="00CF6856" w:rsidRDefault="00AF744A" w:rsidP="00AF744A">
      <w:pPr>
        <w:spacing w:after="0" w:line="240" w:lineRule="auto"/>
        <w:jc w:val="both"/>
        <w:rPr>
          <w:rFonts w:cs="Arial"/>
          <w:sz w:val="20"/>
        </w:rPr>
      </w:pPr>
      <w:r w:rsidRPr="00CF6856">
        <w:rPr>
          <w:rFonts w:cs="Arial"/>
          <w:sz w:val="20"/>
        </w:rPr>
        <w:t>Großherzog-Friedrich-Str. 40</w:t>
      </w:r>
    </w:p>
    <w:p w:rsidR="00AF744A" w:rsidRPr="00CF6856" w:rsidRDefault="00AF744A" w:rsidP="00AF744A">
      <w:pPr>
        <w:spacing w:after="0" w:line="240" w:lineRule="auto"/>
        <w:jc w:val="both"/>
        <w:rPr>
          <w:rFonts w:cs="Arial"/>
          <w:sz w:val="20"/>
        </w:rPr>
      </w:pPr>
      <w:r w:rsidRPr="00CF6856">
        <w:rPr>
          <w:rFonts w:cs="Arial"/>
          <w:sz w:val="20"/>
        </w:rPr>
        <w:t>66111 Saarbrücken</w:t>
      </w:r>
    </w:p>
    <w:p w:rsidR="00AF744A" w:rsidRPr="00CF6856" w:rsidRDefault="00AF744A" w:rsidP="00AF744A">
      <w:pPr>
        <w:spacing w:after="0" w:line="240" w:lineRule="auto"/>
        <w:jc w:val="both"/>
        <w:rPr>
          <w:rFonts w:cs="Arial"/>
          <w:sz w:val="20"/>
        </w:rPr>
      </w:pPr>
      <w:r w:rsidRPr="00CF6856">
        <w:rPr>
          <w:rFonts w:cs="Arial"/>
          <w:sz w:val="20"/>
        </w:rPr>
        <w:t xml:space="preserve"> </w:t>
      </w:r>
    </w:p>
    <w:p w:rsidR="00AF744A" w:rsidRPr="00CF6856" w:rsidRDefault="00AF744A" w:rsidP="00AF744A">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D32887" w:rsidRPr="00AF744A" w:rsidRDefault="00AF744A" w:rsidP="00AF744A">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sectPr w:rsidR="00D32887" w:rsidRPr="00AF744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8B" w:rsidRDefault="00FA608B" w:rsidP="00AF744A">
      <w:pPr>
        <w:spacing w:after="0" w:line="240" w:lineRule="auto"/>
      </w:pPr>
      <w:r>
        <w:separator/>
      </w:r>
    </w:p>
  </w:endnote>
  <w:endnote w:type="continuationSeparator" w:id="0">
    <w:p w:rsidR="00FA608B" w:rsidRDefault="00FA608B" w:rsidP="00AF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Univers 57 Condensed"/>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8B" w:rsidRDefault="00FA608B" w:rsidP="00AF744A">
      <w:pPr>
        <w:spacing w:after="0" w:line="240" w:lineRule="auto"/>
      </w:pPr>
      <w:r>
        <w:separator/>
      </w:r>
    </w:p>
  </w:footnote>
  <w:footnote w:type="continuationSeparator" w:id="0">
    <w:p w:rsidR="00FA608B" w:rsidRDefault="00FA608B" w:rsidP="00AF7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4A" w:rsidRPr="00EB23C5" w:rsidRDefault="00AF744A" w:rsidP="00AF744A">
    <w:pPr>
      <w:tabs>
        <w:tab w:val="center" w:pos="4819"/>
        <w:tab w:val="right" w:pos="9071"/>
      </w:tabs>
      <w:spacing w:after="0" w:line="240" w:lineRule="auto"/>
      <w:jc w:val="center"/>
      <w:rPr>
        <w:rFonts w:cs="Arial"/>
        <w:sz w:val="24"/>
        <w:szCs w:val="20"/>
        <w:lang w:val="en-US" w:eastAsia="de-DE"/>
      </w:rPr>
    </w:pPr>
    <w:r w:rsidRPr="00EB23C5">
      <w:rPr>
        <w:rFonts w:cs="Arial"/>
        <w:b/>
        <w:bCs/>
        <w:sz w:val="28"/>
        <w:szCs w:val="28"/>
        <w:lang w:val="en-US" w:eastAsia="de-DE"/>
      </w:rPr>
      <w:t>mittelstandsdepesche 0</w:t>
    </w:r>
    <w:r>
      <w:rPr>
        <w:rFonts w:cs="Arial"/>
        <w:b/>
        <w:bCs/>
        <w:sz w:val="28"/>
        <w:szCs w:val="28"/>
        <w:lang w:val="en-US" w:eastAsia="de-DE"/>
      </w:rPr>
      <w:t>5</w:t>
    </w:r>
    <w:r w:rsidRPr="00EB23C5">
      <w:rPr>
        <w:rFonts w:cs="Arial"/>
        <w:b/>
        <w:bCs/>
        <w:sz w:val="28"/>
        <w:szCs w:val="28"/>
        <w:lang w:val="en-US"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59"/>
    <w:rsid w:val="002300AB"/>
    <w:rsid w:val="00367D18"/>
    <w:rsid w:val="00421A75"/>
    <w:rsid w:val="0057205A"/>
    <w:rsid w:val="006C2F59"/>
    <w:rsid w:val="0076025A"/>
    <w:rsid w:val="00AF744A"/>
    <w:rsid w:val="00B94A82"/>
    <w:rsid w:val="00C04964"/>
    <w:rsid w:val="00CF6856"/>
    <w:rsid w:val="00D32887"/>
    <w:rsid w:val="00DC4CF2"/>
    <w:rsid w:val="00EB23C5"/>
    <w:rsid w:val="00EC6D5D"/>
    <w:rsid w:val="00F77860"/>
    <w:rsid w:val="00FA6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A812D7-A91D-41CB-A98F-6E01AEC4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6C2F59"/>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6C2F59"/>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C2F59"/>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6C2F59"/>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6C2F59"/>
    <w:rPr>
      <w:rFonts w:cs="Times New Roman"/>
    </w:rPr>
  </w:style>
  <w:style w:type="paragraph" w:customStyle="1" w:styleId="align-justify">
    <w:name w:val="align-justify"/>
    <w:basedOn w:val="Standard"/>
    <w:rsid w:val="006C2F59"/>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6C2F59"/>
    <w:rPr>
      <w:rFonts w:cs="Times New Roman"/>
      <w:color w:val="0000FF"/>
      <w:u w:val="single"/>
    </w:rPr>
  </w:style>
  <w:style w:type="paragraph" w:styleId="Kopfzeile">
    <w:name w:val="header"/>
    <w:basedOn w:val="Standard"/>
    <w:link w:val="KopfzeileZchn"/>
    <w:uiPriority w:val="99"/>
    <w:unhideWhenUsed/>
    <w:rsid w:val="00AF74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F744A"/>
    <w:rPr>
      <w:rFonts w:cs="Times New Roman"/>
    </w:rPr>
  </w:style>
  <w:style w:type="paragraph" w:styleId="Fuzeile">
    <w:name w:val="footer"/>
    <w:basedOn w:val="Standard"/>
    <w:link w:val="FuzeileZchn"/>
    <w:uiPriority w:val="99"/>
    <w:unhideWhenUsed/>
    <w:rsid w:val="00AF744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F74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90993">
      <w:marLeft w:val="0"/>
      <w:marRight w:val="0"/>
      <w:marTop w:val="0"/>
      <w:marBottom w:val="0"/>
      <w:divBdr>
        <w:top w:val="none" w:sz="0" w:space="0" w:color="auto"/>
        <w:left w:val="none" w:sz="0" w:space="0" w:color="auto"/>
        <w:bottom w:val="none" w:sz="0" w:space="0" w:color="auto"/>
        <w:right w:val="none" w:sz="0" w:space="0" w:color="auto"/>
      </w:divBdr>
      <w:divsChild>
        <w:div w:id="1064790994">
          <w:marLeft w:val="0"/>
          <w:marRight w:val="0"/>
          <w:marTop w:val="0"/>
          <w:marBottom w:val="0"/>
          <w:divBdr>
            <w:top w:val="none" w:sz="0" w:space="0" w:color="auto"/>
            <w:left w:val="none" w:sz="0" w:space="0" w:color="auto"/>
            <w:bottom w:val="none" w:sz="0" w:space="0" w:color="auto"/>
            <w:right w:val="none" w:sz="0" w:space="0" w:color="auto"/>
          </w:divBdr>
        </w:div>
        <w:div w:id="106479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3909EC2D.dotm</Template>
  <TotalTime>0</TotalTime>
  <Pages>1</Pages>
  <Words>281</Words>
  <Characters>1775</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2018-06-05T09:07:00Z</dcterms:created>
  <dcterms:modified xsi:type="dcterms:W3CDTF">2018-06-05T09:07:00Z</dcterms:modified>
</cp:coreProperties>
</file>