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E6" w:rsidRPr="00AE4AE6" w:rsidRDefault="00AE4AE6" w:rsidP="00AE4AE6">
      <w:pPr>
        <w:tabs>
          <w:tab w:val="center" w:pos="4536"/>
          <w:tab w:val="right" w:pos="9072"/>
        </w:tabs>
        <w:spacing w:after="0" w:line="240" w:lineRule="auto"/>
        <w:jc w:val="right"/>
        <w:rPr>
          <w:rFonts w:ascii="Arial" w:hAnsi="Arial" w:cs="Arial"/>
        </w:rPr>
      </w:pPr>
      <w:r w:rsidRPr="00AE4AE6">
        <w:rPr>
          <w:rFonts w:ascii="Arial" w:hAnsi="Arial" w:cs="Arial"/>
          <w:b/>
          <w:bCs/>
          <w:sz w:val="40"/>
          <w:szCs w:val="40"/>
        </w:rPr>
        <w:t>DASV</w:t>
      </w:r>
    </w:p>
    <w:p w:rsidR="00AE4AE6" w:rsidRPr="00AE4AE6" w:rsidRDefault="00AE4AE6" w:rsidP="00AE4AE6">
      <w:pPr>
        <w:spacing w:after="0" w:line="240" w:lineRule="auto"/>
        <w:jc w:val="right"/>
        <w:rPr>
          <w:rFonts w:ascii="Arial" w:hAnsi="Arial" w:cs="Arial"/>
          <w:sz w:val="20"/>
          <w:szCs w:val="20"/>
        </w:rPr>
      </w:pPr>
      <w:bookmarkStart w:id="0" w:name="2"/>
      <w:bookmarkStart w:id="1" w:name="9"/>
      <w:bookmarkEnd w:id="0"/>
      <w:bookmarkEnd w:id="1"/>
      <w:r w:rsidRPr="00AE4AE6">
        <w:rPr>
          <w:rFonts w:ascii="Arial" w:hAnsi="Arial" w:cs="Arial"/>
          <w:sz w:val="20"/>
          <w:szCs w:val="20"/>
        </w:rPr>
        <w:t>Deutsche Anwalts- und</w:t>
      </w:r>
    </w:p>
    <w:p w:rsidR="00AE4AE6" w:rsidRPr="00AE4AE6" w:rsidRDefault="00AE4AE6" w:rsidP="00AE4AE6">
      <w:pPr>
        <w:spacing w:after="0" w:line="240" w:lineRule="auto"/>
        <w:jc w:val="right"/>
        <w:rPr>
          <w:rFonts w:ascii="Arial" w:hAnsi="Arial" w:cs="Arial"/>
          <w:sz w:val="20"/>
          <w:szCs w:val="20"/>
        </w:rPr>
      </w:pPr>
      <w:r w:rsidRPr="00AE4AE6">
        <w:rPr>
          <w:rFonts w:ascii="Arial" w:hAnsi="Arial" w:cs="Arial"/>
          <w:sz w:val="20"/>
          <w:szCs w:val="20"/>
        </w:rPr>
        <w:t>Steuerberatervereinigung</w:t>
      </w:r>
    </w:p>
    <w:p w:rsidR="00AE4AE6" w:rsidRPr="00AE4AE6" w:rsidRDefault="00AE4AE6" w:rsidP="00AE4AE6">
      <w:pPr>
        <w:spacing w:after="0" w:line="240" w:lineRule="auto"/>
        <w:jc w:val="right"/>
        <w:rPr>
          <w:rFonts w:ascii="Arial" w:hAnsi="Arial" w:cs="Arial"/>
          <w:sz w:val="20"/>
          <w:szCs w:val="20"/>
        </w:rPr>
      </w:pPr>
      <w:r w:rsidRPr="00AE4AE6">
        <w:rPr>
          <w:rFonts w:ascii="Arial" w:hAnsi="Arial" w:cs="Arial"/>
          <w:sz w:val="20"/>
          <w:szCs w:val="20"/>
        </w:rPr>
        <w:t>für die mittelständische</w:t>
      </w:r>
    </w:p>
    <w:p w:rsidR="00AE4AE6" w:rsidRPr="00AE4AE6" w:rsidRDefault="00AE4AE6" w:rsidP="00AE4AE6">
      <w:pPr>
        <w:spacing w:after="0" w:line="360" w:lineRule="auto"/>
        <w:jc w:val="right"/>
        <w:rPr>
          <w:rFonts w:ascii="Arial" w:hAnsi="Arial" w:cs="Arial"/>
          <w:sz w:val="20"/>
          <w:szCs w:val="20"/>
        </w:rPr>
      </w:pPr>
      <w:r w:rsidRPr="00AE4AE6">
        <w:rPr>
          <w:rFonts w:ascii="Arial" w:hAnsi="Arial" w:cs="Arial"/>
          <w:sz w:val="20"/>
          <w:szCs w:val="20"/>
        </w:rPr>
        <w:t>Wirtschaft e. V.</w:t>
      </w:r>
    </w:p>
    <w:p w:rsidR="00AE4AE6" w:rsidRPr="00AE4AE6" w:rsidRDefault="00AE4AE6" w:rsidP="00AE4AE6">
      <w:pPr>
        <w:spacing w:after="0" w:line="240" w:lineRule="auto"/>
        <w:jc w:val="center"/>
        <w:rPr>
          <w:rFonts w:ascii="Arial" w:eastAsia="Times New Roman" w:hAnsi="Arial" w:cs="Arial"/>
          <w:b/>
          <w:bCs/>
          <w:sz w:val="20"/>
          <w:szCs w:val="20"/>
          <w:lang w:eastAsia="de-DE"/>
        </w:rPr>
      </w:pPr>
    </w:p>
    <w:p w:rsidR="00AE4AE6" w:rsidRPr="00AE4AE6" w:rsidRDefault="00AE4AE6" w:rsidP="00AE4AE6">
      <w:pPr>
        <w:spacing w:after="0" w:line="240" w:lineRule="auto"/>
        <w:jc w:val="center"/>
        <w:rPr>
          <w:rFonts w:ascii="Arial" w:eastAsia="Times New Roman" w:hAnsi="Arial" w:cs="Arial"/>
          <w:b/>
          <w:bCs/>
          <w:sz w:val="20"/>
          <w:szCs w:val="20"/>
          <w:lang w:eastAsia="de-DE"/>
        </w:rPr>
      </w:pPr>
      <w:r w:rsidRPr="00AE4AE6">
        <w:rPr>
          <w:rFonts w:ascii="Arial" w:eastAsia="Times New Roman" w:hAnsi="Arial" w:cs="Arial"/>
          <w:b/>
          <w:bCs/>
          <w:sz w:val="20"/>
          <w:szCs w:val="20"/>
          <w:lang w:eastAsia="de-DE"/>
        </w:rPr>
        <w:t>10 Urteile, die Ihre Leser interessieren könnten</w:t>
      </w:r>
    </w:p>
    <w:p w:rsidR="00AE4AE6" w:rsidRPr="00AE4AE6" w:rsidRDefault="00AE4AE6" w:rsidP="00AE4AE6">
      <w:pPr>
        <w:spacing w:after="0" w:line="240" w:lineRule="auto"/>
        <w:jc w:val="both"/>
        <w:rPr>
          <w:rFonts w:ascii="Arial" w:eastAsia="Times New Roman" w:hAnsi="Arial" w:cs="Arial"/>
          <w:bCs/>
          <w:sz w:val="20"/>
          <w:szCs w:val="20"/>
          <w:lang w:eastAsia="de-DE"/>
        </w:rPr>
      </w:pPr>
    </w:p>
    <w:p w:rsidR="00AE4AE6" w:rsidRPr="00AE4AE6" w:rsidRDefault="00AE4AE6" w:rsidP="00AE4AE6">
      <w:pPr>
        <w:spacing w:after="0" w:line="240" w:lineRule="auto"/>
        <w:jc w:val="center"/>
        <w:rPr>
          <w:rFonts w:ascii="Arial" w:eastAsia="Times New Roman" w:hAnsi="Arial" w:cs="Arial"/>
          <w:sz w:val="20"/>
          <w:szCs w:val="20"/>
          <w:lang w:eastAsia="de-DE"/>
        </w:rPr>
      </w:pPr>
      <w:r w:rsidRPr="00AE4AE6">
        <w:rPr>
          <w:rFonts w:ascii="Arial" w:eastAsia="Times New Roman" w:hAnsi="Arial" w:cs="Arial"/>
          <w:sz w:val="20"/>
          <w:szCs w:val="20"/>
          <w:lang w:eastAsia="de-DE"/>
        </w:rPr>
        <w:t>zusammengestellt von Rechtsanwalt/Fachanwalt für Arbeitsrecht u. Fachanwalt für Erbrecht</w:t>
      </w:r>
    </w:p>
    <w:p w:rsidR="00AE4AE6" w:rsidRPr="00AE4AE6" w:rsidRDefault="00AE4AE6" w:rsidP="00AE4AE6">
      <w:pPr>
        <w:spacing w:after="0" w:line="240" w:lineRule="auto"/>
        <w:ind w:right="540"/>
        <w:jc w:val="center"/>
        <w:rPr>
          <w:rFonts w:ascii="Arial" w:eastAsia="Times New Roman" w:hAnsi="Arial" w:cs="Arial"/>
          <w:bCs/>
          <w:sz w:val="20"/>
          <w:szCs w:val="20"/>
          <w:lang w:eastAsia="de-DE"/>
        </w:rPr>
      </w:pPr>
      <w:r w:rsidRPr="00AE4AE6">
        <w:rPr>
          <w:rFonts w:ascii="Arial" w:eastAsia="Times New Roman" w:hAnsi="Arial" w:cs="Arial"/>
          <w:bCs/>
          <w:sz w:val="20"/>
          <w:szCs w:val="20"/>
          <w:lang w:eastAsia="de-DE"/>
        </w:rPr>
        <w:t>Michael Henn, Stuttgart</w:t>
      </w:r>
    </w:p>
    <w:p w:rsidR="00AE4AE6" w:rsidRPr="00AE4AE6" w:rsidRDefault="00AE4AE6" w:rsidP="00AE4AE6">
      <w:pPr>
        <w:spacing w:after="0" w:line="240" w:lineRule="auto"/>
        <w:rPr>
          <w:rFonts w:ascii="Arial" w:hAnsi="Arial" w:cs="Arial"/>
          <w:sz w:val="20"/>
          <w:szCs w:val="20"/>
        </w:rPr>
      </w:pPr>
    </w:p>
    <w:p w:rsidR="00C5436C" w:rsidRDefault="00AE4AE6" w:rsidP="00AE4AE6">
      <w:pPr>
        <w:spacing w:after="0" w:line="240" w:lineRule="auto"/>
        <w:jc w:val="center"/>
        <w:rPr>
          <w:rFonts w:ascii="Arial" w:hAnsi="Arial" w:cs="Arial"/>
          <w:b/>
          <w:sz w:val="20"/>
          <w:szCs w:val="20"/>
          <w:lang w:eastAsia="de-DE"/>
        </w:rPr>
      </w:pPr>
      <w:r w:rsidRPr="00AE4AE6">
        <w:rPr>
          <w:rFonts w:ascii="Arial" w:hAnsi="Arial" w:cs="Arial"/>
          <w:b/>
          <w:sz w:val="20"/>
          <w:szCs w:val="20"/>
          <w:lang w:eastAsia="de-DE"/>
        </w:rPr>
        <w:t>I.</w:t>
      </w:r>
    </w:p>
    <w:p w:rsidR="007B151B" w:rsidRPr="007B151B" w:rsidRDefault="007B151B" w:rsidP="00AE4AE6">
      <w:pPr>
        <w:spacing w:after="0" w:line="240" w:lineRule="auto"/>
        <w:jc w:val="center"/>
        <w:rPr>
          <w:rFonts w:ascii="Arial" w:hAnsi="Arial" w:cs="Arial"/>
          <w:b/>
          <w:sz w:val="20"/>
          <w:szCs w:val="20"/>
          <w:lang w:eastAsia="de-DE"/>
        </w:rPr>
      </w:pPr>
      <w:r w:rsidRPr="007B151B">
        <w:rPr>
          <w:rFonts w:ascii="Arial" w:hAnsi="Arial" w:cs="Arial"/>
          <w:b/>
          <w:sz w:val="20"/>
          <w:szCs w:val="20"/>
          <w:lang w:eastAsia="de-DE"/>
        </w:rPr>
        <w:t>Verzicht auf Eigenbedarfskündigung</w:t>
      </w:r>
    </w:p>
    <w:p w:rsidR="00AE4AE6" w:rsidRPr="00AE4AE6" w:rsidRDefault="00AE4AE6" w:rsidP="00AE4AE6">
      <w:pPr>
        <w:spacing w:after="0" w:line="240" w:lineRule="auto"/>
        <w:jc w:val="center"/>
        <w:rPr>
          <w:rFonts w:ascii="Arial" w:hAnsi="Arial" w:cs="Arial"/>
          <w:sz w:val="20"/>
          <w:szCs w:val="20"/>
          <w:lang w:eastAsia="de-DE"/>
        </w:rPr>
      </w:pPr>
      <w:r w:rsidRPr="00AE4AE6">
        <w:rPr>
          <w:rFonts w:ascii="Arial" w:hAnsi="Arial" w:cs="Arial"/>
          <w:sz w:val="20"/>
          <w:szCs w:val="20"/>
          <w:lang w:eastAsia="de-DE"/>
        </w:rPr>
        <w:t>AG Dortmund, Urteil vom 02. Juni 2020</w:t>
      </w:r>
      <w:r>
        <w:rPr>
          <w:rFonts w:ascii="Arial" w:hAnsi="Arial" w:cs="Arial"/>
          <w:sz w:val="20"/>
          <w:szCs w:val="20"/>
          <w:lang w:eastAsia="de-DE"/>
        </w:rPr>
        <w:t>, Az. 425 C 3346/19</w:t>
      </w:r>
    </w:p>
    <w:p w:rsidR="00AE4AE6" w:rsidRDefault="00AE4AE6" w:rsidP="00C5436C">
      <w:pPr>
        <w:spacing w:after="0" w:line="240" w:lineRule="auto"/>
        <w:jc w:val="both"/>
        <w:rPr>
          <w:rFonts w:ascii="Arial" w:hAnsi="Arial" w:cs="Arial"/>
          <w:sz w:val="20"/>
          <w:szCs w:val="20"/>
          <w:lang w:eastAsia="de-DE"/>
        </w:rPr>
      </w:pPr>
    </w:p>
    <w:p w:rsidR="00AE4AE6" w:rsidRDefault="00AE4AE6" w:rsidP="00AE4AE6">
      <w:pPr>
        <w:spacing w:after="0" w:line="240" w:lineRule="auto"/>
        <w:jc w:val="both"/>
        <w:rPr>
          <w:rFonts w:ascii="Arial" w:hAnsi="Arial" w:cs="Arial"/>
          <w:sz w:val="20"/>
          <w:szCs w:val="20"/>
          <w:lang w:eastAsia="de-DE"/>
        </w:rPr>
      </w:pPr>
      <w:r w:rsidRPr="00AE4AE6">
        <w:rPr>
          <w:rFonts w:ascii="Arial" w:hAnsi="Arial" w:cs="Arial"/>
          <w:sz w:val="20"/>
          <w:szCs w:val="20"/>
          <w:lang w:eastAsia="de-DE"/>
        </w:rPr>
        <w:t>1. Bei einem Verzicht auf die Eigenbedarfskündigung „bis zum Tode des Mieters“ bedarf der Mietvertrag gem. § 550 BGB der Einhaltung der Schriftform; and</w:t>
      </w:r>
      <w:r>
        <w:rPr>
          <w:rFonts w:ascii="Arial" w:hAnsi="Arial" w:cs="Arial"/>
          <w:sz w:val="20"/>
          <w:szCs w:val="20"/>
          <w:lang w:eastAsia="de-DE"/>
        </w:rPr>
        <w:t>erenfalls ist er nach Ablauf ei</w:t>
      </w:r>
      <w:r w:rsidRPr="00AE4AE6">
        <w:rPr>
          <w:rFonts w:ascii="Arial" w:hAnsi="Arial" w:cs="Arial"/>
          <w:sz w:val="20"/>
          <w:szCs w:val="20"/>
          <w:lang w:eastAsia="de-DE"/>
        </w:rPr>
        <w:t>nes Jahres kündbar.</w:t>
      </w:r>
    </w:p>
    <w:p w:rsidR="00AE4AE6" w:rsidRPr="00AE4AE6" w:rsidRDefault="00AE4AE6" w:rsidP="00AE4AE6">
      <w:pPr>
        <w:spacing w:after="0" w:line="240" w:lineRule="auto"/>
        <w:jc w:val="both"/>
        <w:rPr>
          <w:rFonts w:ascii="Arial" w:hAnsi="Arial" w:cs="Arial"/>
          <w:sz w:val="20"/>
          <w:szCs w:val="20"/>
          <w:lang w:eastAsia="de-DE"/>
        </w:rPr>
      </w:pPr>
    </w:p>
    <w:p w:rsidR="00AE4AE6" w:rsidRDefault="00AE4AE6" w:rsidP="00AE4AE6">
      <w:pPr>
        <w:spacing w:after="0" w:line="240" w:lineRule="auto"/>
        <w:jc w:val="both"/>
        <w:rPr>
          <w:rFonts w:ascii="Arial" w:hAnsi="Arial" w:cs="Arial"/>
          <w:sz w:val="20"/>
          <w:szCs w:val="20"/>
          <w:lang w:eastAsia="de-DE"/>
        </w:rPr>
      </w:pPr>
      <w:r w:rsidRPr="00AE4AE6">
        <w:rPr>
          <w:rFonts w:ascii="Arial" w:hAnsi="Arial" w:cs="Arial"/>
          <w:sz w:val="20"/>
          <w:szCs w:val="20"/>
          <w:lang w:eastAsia="de-DE"/>
        </w:rPr>
        <w:t xml:space="preserve">2. Bei einer Eigenbedarfskündigung </w:t>
      </w:r>
      <w:proofErr w:type="gramStart"/>
      <w:r w:rsidRPr="00AE4AE6">
        <w:rPr>
          <w:rFonts w:ascii="Arial" w:hAnsi="Arial" w:cs="Arial"/>
          <w:sz w:val="20"/>
          <w:szCs w:val="20"/>
          <w:lang w:eastAsia="de-DE"/>
        </w:rPr>
        <w:t>ist</w:t>
      </w:r>
      <w:proofErr w:type="gramEnd"/>
      <w:r w:rsidRPr="00AE4AE6">
        <w:rPr>
          <w:rFonts w:ascii="Arial" w:hAnsi="Arial" w:cs="Arial"/>
          <w:sz w:val="20"/>
          <w:szCs w:val="20"/>
          <w:lang w:eastAsia="de-DE"/>
        </w:rPr>
        <w:t xml:space="preserve"> die Angabe der Personen, für die die Wohnung benötigt wird, und die Darlegung des Interesses, das diese Personen an der Erlangung der Wohnung haben, ausreichend.</w:t>
      </w:r>
    </w:p>
    <w:p w:rsidR="00AE4AE6" w:rsidRPr="00AE4AE6" w:rsidRDefault="00AE4AE6" w:rsidP="00AE4AE6">
      <w:pPr>
        <w:spacing w:after="0" w:line="240" w:lineRule="auto"/>
        <w:jc w:val="both"/>
        <w:rPr>
          <w:rFonts w:ascii="Arial" w:hAnsi="Arial" w:cs="Arial"/>
          <w:sz w:val="20"/>
          <w:szCs w:val="20"/>
          <w:lang w:eastAsia="de-DE"/>
        </w:rPr>
      </w:pPr>
    </w:p>
    <w:p w:rsidR="00AE4AE6" w:rsidRDefault="00AE4AE6" w:rsidP="00AE4AE6">
      <w:pPr>
        <w:spacing w:after="0" w:line="240" w:lineRule="auto"/>
        <w:jc w:val="both"/>
        <w:rPr>
          <w:rFonts w:ascii="Arial" w:hAnsi="Arial" w:cs="Arial"/>
          <w:sz w:val="20"/>
          <w:szCs w:val="20"/>
          <w:lang w:eastAsia="de-DE"/>
        </w:rPr>
      </w:pPr>
      <w:r w:rsidRPr="00AE4AE6">
        <w:rPr>
          <w:rFonts w:ascii="Arial" w:hAnsi="Arial" w:cs="Arial"/>
          <w:sz w:val="20"/>
          <w:szCs w:val="20"/>
          <w:lang w:eastAsia="de-DE"/>
        </w:rPr>
        <w:t>3. Wird das Erlangungsinteresse mit krankheitsbedingten Nutzungseinschränkungen der bisher bewohnten Räume begründet, reicht die Angabe der Krankheitssymptome, die richtige Bezeichnung der Diagnose ist nicht erforderlich.</w:t>
      </w:r>
    </w:p>
    <w:p w:rsidR="00AE4AE6" w:rsidRPr="00AE4AE6" w:rsidRDefault="00AE4AE6" w:rsidP="00AE4AE6">
      <w:pPr>
        <w:spacing w:after="0" w:line="240" w:lineRule="auto"/>
        <w:jc w:val="both"/>
        <w:rPr>
          <w:rFonts w:ascii="Arial" w:hAnsi="Arial" w:cs="Arial"/>
          <w:sz w:val="20"/>
          <w:szCs w:val="20"/>
          <w:lang w:eastAsia="de-DE"/>
        </w:rPr>
      </w:pPr>
    </w:p>
    <w:p w:rsidR="00AE4AE6" w:rsidRDefault="00AE4AE6" w:rsidP="00AE4AE6">
      <w:pPr>
        <w:spacing w:after="0" w:line="240" w:lineRule="auto"/>
        <w:jc w:val="both"/>
        <w:rPr>
          <w:rFonts w:ascii="Arial" w:hAnsi="Arial" w:cs="Arial"/>
          <w:sz w:val="20"/>
          <w:szCs w:val="20"/>
          <w:lang w:eastAsia="de-DE"/>
        </w:rPr>
      </w:pPr>
      <w:r w:rsidRPr="00AE4AE6">
        <w:rPr>
          <w:rFonts w:ascii="Arial" w:hAnsi="Arial" w:cs="Arial"/>
          <w:sz w:val="20"/>
          <w:szCs w:val="20"/>
          <w:lang w:eastAsia="de-DE"/>
        </w:rPr>
        <w:t>4. Der Vermieter kann ein Mietverhältnis ordentlich gem. § 573 BGB und „vorsorglich“ gem. § 573a BGB kündigen. Es liegt keine unzulässige Bedingung vor.</w:t>
      </w:r>
    </w:p>
    <w:p w:rsidR="00AE4AE6" w:rsidRPr="00AE4AE6" w:rsidRDefault="00AE4AE6" w:rsidP="00AE4AE6">
      <w:pPr>
        <w:spacing w:after="0" w:line="240" w:lineRule="auto"/>
        <w:jc w:val="both"/>
        <w:rPr>
          <w:rFonts w:ascii="Arial" w:hAnsi="Arial" w:cs="Arial"/>
          <w:sz w:val="20"/>
          <w:szCs w:val="20"/>
          <w:lang w:eastAsia="de-DE"/>
        </w:rPr>
      </w:pPr>
    </w:p>
    <w:p w:rsidR="00AE4AE6" w:rsidRDefault="00AE4AE6" w:rsidP="00AE4AE6">
      <w:pPr>
        <w:spacing w:after="0" w:line="240" w:lineRule="auto"/>
        <w:jc w:val="both"/>
        <w:rPr>
          <w:rFonts w:ascii="Arial" w:hAnsi="Arial" w:cs="Arial"/>
          <w:sz w:val="20"/>
          <w:szCs w:val="20"/>
          <w:lang w:eastAsia="de-DE"/>
        </w:rPr>
      </w:pPr>
      <w:r w:rsidRPr="00AE4AE6">
        <w:rPr>
          <w:rFonts w:ascii="Arial" w:hAnsi="Arial" w:cs="Arial"/>
          <w:sz w:val="20"/>
          <w:szCs w:val="20"/>
          <w:lang w:eastAsia="de-DE"/>
        </w:rPr>
        <w:t>5. Die noch nicht konkrete Absicht, in Zukunft einmal eine Pflegeperson in der Wohnung unter-bringen zu können, stellt eine unzulässige Vorratskündigung dar.</w:t>
      </w:r>
    </w:p>
    <w:p w:rsidR="00AE4AE6" w:rsidRDefault="00AE4AE6" w:rsidP="00C5436C">
      <w:pPr>
        <w:spacing w:after="0" w:line="240" w:lineRule="auto"/>
        <w:jc w:val="both"/>
        <w:rPr>
          <w:rFonts w:ascii="Arial" w:hAnsi="Arial" w:cs="Arial"/>
          <w:sz w:val="20"/>
          <w:szCs w:val="20"/>
          <w:lang w:eastAsia="de-DE"/>
        </w:rPr>
      </w:pPr>
    </w:p>
    <w:p w:rsidR="008D1904" w:rsidRDefault="008D1904" w:rsidP="008D1904">
      <w:pPr>
        <w:spacing w:after="0" w:line="240" w:lineRule="auto"/>
        <w:jc w:val="center"/>
        <w:rPr>
          <w:rFonts w:ascii="Arial" w:hAnsi="Arial" w:cs="Arial"/>
          <w:b/>
          <w:sz w:val="20"/>
          <w:szCs w:val="20"/>
          <w:lang w:eastAsia="de-DE"/>
        </w:rPr>
      </w:pPr>
      <w:r w:rsidRPr="008D1904">
        <w:rPr>
          <w:rFonts w:ascii="Arial" w:hAnsi="Arial" w:cs="Arial"/>
          <w:b/>
          <w:sz w:val="20"/>
          <w:szCs w:val="20"/>
          <w:lang w:eastAsia="de-DE"/>
        </w:rPr>
        <w:t>II.</w:t>
      </w:r>
    </w:p>
    <w:p w:rsidR="004965F8" w:rsidRPr="004965F8" w:rsidRDefault="004965F8" w:rsidP="008D1904">
      <w:pPr>
        <w:spacing w:after="0" w:line="240" w:lineRule="auto"/>
        <w:jc w:val="center"/>
        <w:rPr>
          <w:rFonts w:ascii="Arial" w:hAnsi="Arial" w:cs="Arial"/>
          <w:b/>
          <w:sz w:val="20"/>
          <w:szCs w:val="20"/>
          <w:lang w:eastAsia="de-DE"/>
        </w:rPr>
      </w:pPr>
      <w:r w:rsidRPr="004965F8">
        <w:rPr>
          <w:rFonts w:ascii="Arial" w:hAnsi="Arial" w:cs="Arial"/>
          <w:b/>
          <w:sz w:val="20"/>
          <w:szCs w:val="20"/>
          <w:lang w:eastAsia="de-DE"/>
        </w:rPr>
        <w:t>Urlaubsabgeltungsansprüche</w:t>
      </w:r>
    </w:p>
    <w:p w:rsidR="008D1904" w:rsidRDefault="008D1904" w:rsidP="008D1904">
      <w:pPr>
        <w:spacing w:after="0" w:line="240" w:lineRule="auto"/>
        <w:jc w:val="center"/>
        <w:rPr>
          <w:rFonts w:ascii="Arial" w:hAnsi="Arial" w:cs="Arial"/>
          <w:sz w:val="20"/>
          <w:szCs w:val="20"/>
          <w:lang w:eastAsia="de-DE"/>
        </w:rPr>
      </w:pPr>
      <w:r w:rsidRPr="008D1904">
        <w:rPr>
          <w:rFonts w:ascii="Arial" w:hAnsi="Arial" w:cs="Arial"/>
          <w:sz w:val="20"/>
          <w:szCs w:val="20"/>
          <w:lang w:eastAsia="de-DE"/>
        </w:rPr>
        <w:t>Landesarbeitsgericht Düsseldorf, Urteil vom 24. Juni 2020, Az. 4 Sa 571/19</w:t>
      </w:r>
    </w:p>
    <w:p w:rsidR="008D1904" w:rsidRDefault="008D1904" w:rsidP="008D1904">
      <w:pPr>
        <w:spacing w:after="0" w:line="240" w:lineRule="auto"/>
        <w:jc w:val="both"/>
        <w:rPr>
          <w:rFonts w:ascii="Arial" w:hAnsi="Arial" w:cs="Arial"/>
          <w:sz w:val="20"/>
          <w:szCs w:val="20"/>
          <w:lang w:eastAsia="de-DE"/>
        </w:rPr>
      </w:pPr>
    </w:p>
    <w:p w:rsidR="004965F8"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1. Urlaubsabgeltungsansprüche unterliegen tarif- oder einzelvertraglichen Ausschlussfristen auch dann, wenn die zugrundeliegenden Urlaubsansprüche - etwa aufgrund unzureichender Aufklärung durch den Arbeitgeber - urlaubsrechtlich nicht verfallen konnten.</w:t>
      </w:r>
    </w:p>
    <w:p w:rsidR="008D1904" w:rsidRPr="008D1904"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 xml:space="preserve">2. Zur Wirksamkeit einer im Jahre 2013 vereinbarten einzelvertraglichen Ausschlussfrist für Ansprüche aus dem Arbeitsverhältnis, die lediglich Ansprüche aus unerlaubter Handlung von ihrem Anwendungsbereich ausnimmt. </w:t>
      </w:r>
    </w:p>
    <w:p w:rsidR="008D1904" w:rsidRDefault="008D1904" w:rsidP="008D1904">
      <w:pPr>
        <w:spacing w:after="0" w:line="240" w:lineRule="auto"/>
        <w:jc w:val="both"/>
        <w:rPr>
          <w:rFonts w:ascii="Arial" w:hAnsi="Arial" w:cs="Arial"/>
          <w:sz w:val="20"/>
          <w:szCs w:val="20"/>
          <w:lang w:eastAsia="de-DE"/>
        </w:rPr>
      </w:pPr>
    </w:p>
    <w:p w:rsidR="008D1904" w:rsidRDefault="008D1904" w:rsidP="008D1904">
      <w:pPr>
        <w:spacing w:after="0" w:line="240" w:lineRule="auto"/>
        <w:jc w:val="center"/>
        <w:rPr>
          <w:rFonts w:ascii="Arial" w:hAnsi="Arial" w:cs="Arial"/>
          <w:b/>
          <w:sz w:val="20"/>
          <w:szCs w:val="20"/>
          <w:lang w:eastAsia="de-DE"/>
        </w:rPr>
      </w:pPr>
      <w:r w:rsidRPr="008D1904">
        <w:rPr>
          <w:rFonts w:ascii="Arial" w:hAnsi="Arial" w:cs="Arial"/>
          <w:b/>
          <w:sz w:val="20"/>
          <w:szCs w:val="20"/>
          <w:lang w:eastAsia="de-DE"/>
        </w:rPr>
        <w:t>III.</w:t>
      </w:r>
    </w:p>
    <w:p w:rsidR="008D1904" w:rsidRPr="008D1904" w:rsidRDefault="008D1904" w:rsidP="008D1904">
      <w:pPr>
        <w:spacing w:after="0" w:line="240" w:lineRule="auto"/>
        <w:jc w:val="center"/>
        <w:rPr>
          <w:rFonts w:ascii="Arial" w:hAnsi="Arial" w:cs="Arial"/>
          <w:b/>
          <w:sz w:val="20"/>
          <w:szCs w:val="20"/>
          <w:lang w:eastAsia="de-DE"/>
        </w:rPr>
      </w:pPr>
      <w:r w:rsidRPr="008D1904">
        <w:rPr>
          <w:rFonts w:ascii="Arial" w:hAnsi="Arial" w:cs="Arial"/>
          <w:b/>
          <w:sz w:val="20"/>
          <w:szCs w:val="20"/>
          <w:lang w:eastAsia="de-DE"/>
        </w:rPr>
        <w:t>Anfechtung des Arbeitsvertrages wegen Täuschung</w:t>
      </w:r>
    </w:p>
    <w:p w:rsidR="008D1904" w:rsidRDefault="008D1904" w:rsidP="008D1904">
      <w:pPr>
        <w:spacing w:after="0" w:line="240" w:lineRule="auto"/>
        <w:jc w:val="center"/>
        <w:rPr>
          <w:rFonts w:ascii="Arial" w:hAnsi="Arial" w:cs="Arial"/>
          <w:sz w:val="20"/>
          <w:szCs w:val="20"/>
          <w:lang w:eastAsia="de-DE"/>
        </w:rPr>
      </w:pPr>
      <w:r w:rsidRPr="008D1904">
        <w:rPr>
          <w:rFonts w:ascii="Arial" w:hAnsi="Arial" w:cs="Arial"/>
          <w:sz w:val="20"/>
          <w:szCs w:val="20"/>
          <w:lang w:eastAsia="de-DE"/>
        </w:rPr>
        <w:t>Landesarbeitsgericht Mecklenburg-Vorpommern, Urteil vom 09. Juni 2020</w:t>
      </w:r>
      <w:r>
        <w:rPr>
          <w:rFonts w:ascii="Arial" w:hAnsi="Arial" w:cs="Arial"/>
          <w:sz w:val="20"/>
          <w:szCs w:val="20"/>
          <w:lang w:eastAsia="de-DE"/>
        </w:rPr>
        <w:t>, Az. 5 Sa 206/19</w:t>
      </w:r>
    </w:p>
    <w:p w:rsidR="008D1904" w:rsidRDefault="008D1904" w:rsidP="008D1904">
      <w:pPr>
        <w:spacing w:after="0" w:line="240" w:lineRule="auto"/>
        <w:jc w:val="both"/>
        <w:rPr>
          <w:rFonts w:ascii="Arial" w:hAnsi="Arial" w:cs="Arial"/>
          <w:sz w:val="20"/>
          <w:szCs w:val="20"/>
          <w:lang w:eastAsia="de-DE"/>
        </w:rPr>
      </w:pPr>
    </w:p>
    <w:p w:rsidR="008D1904" w:rsidRPr="008D1904"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1. Eine arglistige Täuschung setzt in objektiver Hinsicht voraus, dass der Täuschende durch Vorspiegelung oder Entstellung von Tatsachen beim Erklärungsgegner einen Irrtum erregt und ihn hierdurch zur Abgabe einer Willenserklärung veranlasst hat.</w:t>
      </w:r>
    </w:p>
    <w:p w:rsidR="008D1904" w:rsidRPr="008D1904"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2. Die Angabe, zeitweise an einer bestimmten Universität studiert zu haben, ist nicht allein deshalb falsch, weil der Studierende in diesem Zeitraum nicht bei dieser, sondern bei einer anderen Universität eingeschrieben war.</w:t>
      </w:r>
    </w:p>
    <w:p w:rsidR="008D1904" w:rsidRPr="008D1904"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3. Die Vorlage eines von einer Behörde im Rahmen ihrer Zuständigkeit ordnungsgemäß ausgestellten Zeugnisses stellt keine Täuschung dar, wenn dieses Zeugnis nicht durch falsche Angaben erschlichen wurde und nicht an einem offensichtlichen Mangel leidet.</w:t>
      </w:r>
    </w:p>
    <w:p w:rsidR="00F13481" w:rsidRDefault="00F13481">
      <w:pPr>
        <w:rPr>
          <w:rFonts w:ascii="Arial" w:hAnsi="Arial" w:cs="Arial"/>
          <w:sz w:val="20"/>
          <w:szCs w:val="20"/>
          <w:lang w:eastAsia="de-DE"/>
        </w:rPr>
      </w:pPr>
      <w:r>
        <w:rPr>
          <w:rFonts w:ascii="Arial" w:hAnsi="Arial" w:cs="Arial"/>
          <w:sz w:val="20"/>
          <w:szCs w:val="20"/>
          <w:lang w:eastAsia="de-DE"/>
        </w:rPr>
        <w:br w:type="page"/>
      </w:r>
    </w:p>
    <w:p w:rsidR="008D1904" w:rsidRDefault="008D1904" w:rsidP="00C5436C">
      <w:pPr>
        <w:spacing w:after="0" w:line="240" w:lineRule="auto"/>
        <w:jc w:val="both"/>
        <w:rPr>
          <w:rFonts w:ascii="Arial" w:hAnsi="Arial" w:cs="Arial"/>
          <w:sz w:val="20"/>
          <w:szCs w:val="20"/>
          <w:lang w:eastAsia="de-DE"/>
        </w:rPr>
      </w:pPr>
    </w:p>
    <w:p w:rsidR="008D1904" w:rsidRDefault="008D1904" w:rsidP="008D1904">
      <w:pPr>
        <w:spacing w:after="0" w:line="240" w:lineRule="auto"/>
        <w:jc w:val="center"/>
        <w:rPr>
          <w:rFonts w:ascii="Arial" w:hAnsi="Arial" w:cs="Arial"/>
          <w:b/>
          <w:sz w:val="20"/>
          <w:szCs w:val="20"/>
          <w:lang w:eastAsia="de-DE"/>
        </w:rPr>
      </w:pPr>
      <w:r w:rsidRPr="008D1904">
        <w:rPr>
          <w:rFonts w:ascii="Arial" w:hAnsi="Arial" w:cs="Arial"/>
          <w:b/>
          <w:sz w:val="20"/>
          <w:szCs w:val="20"/>
          <w:lang w:eastAsia="de-DE"/>
        </w:rPr>
        <w:t>IV.</w:t>
      </w:r>
    </w:p>
    <w:p w:rsidR="008D1904" w:rsidRPr="008D1904" w:rsidRDefault="008D1904" w:rsidP="008D1904">
      <w:pPr>
        <w:spacing w:after="0" w:line="240" w:lineRule="auto"/>
        <w:jc w:val="center"/>
        <w:rPr>
          <w:rFonts w:ascii="Arial" w:hAnsi="Arial" w:cs="Arial"/>
          <w:b/>
          <w:sz w:val="20"/>
          <w:szCs w:val="20"/>
          <w:lang w:eastAsia="de-DE"/>
        </w:rPr>
      </w:pPr>
      <w:r w:rsidRPr="008D1904">
        <w:rPr>
          <w:rFonts w:ascii="Arial" w:hAnsi="Arial" w:cs="Arial"/>
          <w:b/>
          <w:sz w:val="20"/>
          <w:szCs w:val="20"/>
          <w:lang w:eastAsia="de-DE"/>
        </w:rPr>
        <w:t xml:space="preserve">Aussetzung der Vollziehung: Anwendbarkeit des </w:t>
      </w:r>
      <w:proofErr w:type="spellStart"/>
      <w:r w:rsidRPr="008D1904">
        <w:rPr>
          <w:rFonts w:ascii="Arial" w:hAnsi="Arial" w:cs="Arial"/>
          <w:b/>
          <w:sz w:val="20"/>
          <w:szCs w:val="20"/>
          <w:lang w:eastAsia="de-DE"/>
        </w:rPr>
        <w:t>MiLoG</w:t>
      </w:r>
      <w:proofErr w:type="spellEnd"/>
      <w:r w:rsidRPr="008D1904">
        <w:rPr>
          <w:rFonts w:ascii="Arial" w:hAnsi="Arial" w:cs="Arial"/>
          <w:b/>
          <w:sz w:val="20"/>
          <w:szCs w:val="20"/>
          <w:lang w:eastAsia="de-DE"/>
        </w:rPr>
        <w:t xml:space="preserve"> auf ausländische Transportunternehmer</w:t>
      </w:r>
    </w:p>
    <w:p w:rsidR="008D1904" w:rsidRPr="008D1904" w:rsidRDefault="008D1904" w:rsidP="008D1904">
      <w:pPr>
        <w:spacing w:after="0" w:line="240" w:lineRule="auto"/>
        <w:jc w:val="center"/>
        <w:rPr>
          <w:rFonts w:ascii="Arial" w:hAnsi="Arial" w:cs="Arial"/>
          <w:sz w:val="20"/>
          <w:szCs w:val="20"/>
          <w:lang w:eastAsia="de-DE"/>
        </w:rPr>
      </w:pPr>
      <w:r w:rsidRPr="008D1904">
        <w:rPr>
          <w:rFonts w:ascii="Arial" w:hAnsi="Arial" w:cs="Arial"/>
          <w:sz w:val="20"/>
          <w:szCs w:val="20"/>
          <w:lang w:eastAsia="de-DE"/>
        </w:rPr>
        <w:t>Finanzgericht des Landes Sachsen-Anhalt, Beschluss vom 08. Juni 2020</w:t>
      </w:r>
      <w:r>
        <w:rPr>
          <w:rFonts w:ascii="Arial" w:hAnsi="Arial" w:cs="Arial"/>
          <w:sz w:val="20"/>
          <w:szCs w:val="20"/>
          <w:lang w:eastAsia="de-DE"/>
        </w:rPr>
        <w:t>, Az.</w:t>
      </w:r>
      <w:r w:rsidRPr="008D1904">
        <w:rPr>
          <w:rFonts w:ascii="Arial" w:hAnsi="Arial" w:cs="Arial"/>
          <w:sz w:val="20"/>
          <w:szCs w:val="20"/>
          <w:lang w:eastAsia="de-DE"/>
        </w:rPr>
        <w:t xml:space="preserve"> 3 V 1103/19 </w:t>
      </w:r>
    </w:p>
    <w:p w:rsidR="00757693" w:rsidRDefault="00757693" w:rsidP="00C5436C">
      <w:pPr>
        <w:spacing w:after="0" w:line="240" w:lineRule="auto"/>
        <w:jc w:val="both"/>
        <w:rPr>
          <w:rFonts w:ascii="Arial" w:hAnsi="Arial" w:cs="Arial"/>
          <w:sz w:val="20"/>
          <w:szCs w:val="20"/>
          <w:lang w:eastAsia="de-DE"/>
        </w:rPr>
      </w:pPr>
    </w:p>
    <w:p w:rsidR="008D1904" w:rsidRPr="008D1904"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 xml:space="preserve">1. Das </w:t>
      </w:r>
      <w:proofErr w:type="spellStart"/>
      <w:r w:rsidRPr="008D1904">
        <w:rPr>
          <w:rFonts w:ascii="Arial" w:hAnsi="Arial" w:cs="Arial"/>
          <w:sz w:val="20"/>
          <w:szCs w:val="20"/>
          <w:lang w:eastAsia="de-DE"/>
        </w:rPr>
        <w:t>MiLoG</w:t>
      </w:r>
      <w:proofErr w:type="spellEnd"/>
      <w:r w:rsidRPr="008D1904">
        <w:rPr>
          <w:rFonts w:ascii="Arial" w:hAnsi="Arial" w:cs="Arial"/>
          <w:sz w:val="20"/>
          <w:szCs w:val="20"/>
          <w:lang w:eastAsia="de-DE"/>
        </w:rPr>
        <w:t xml:space="preserve"> ist bei summarischer Prüfung auch auf ausländische Transportunternehmer anwendbar </w:t>
      </w:r>
      <w:bookmarkStart w:id="2" w:name="_retrdlink_39"/>
      <w:r w:rsidRPr="008D1904">
        <w:rPr>
          <w:rFonts w:ascii="Arial" w:hAnsi="Arial" w:cs="Arial"/>
          <w:sz w:val="20"/>
          <w:szCs w:val="20"/>
          <w:lang w:eastAsia="de-DE"/>
        </w:rPr>
        <w:t>(Rn.39)</w:t>
      </w:r>
      <w:bookmarkStart w:id="3" w:name="_retrdlink_40"/>
      <w:r w:rsidRPr="008D1904">
        <w:rPr>
          <w:rFonts w:ascii="Arial" w:hAnsi="Arial" w:cs="Arial"/>
          <w:sz w:val="20"/>
          <w:szCs w:val="20"/>
          <w:lang w:eastAsia="de-DE"/>
        </w:rPr>
        <w:t>(Rn.40)</w:t>
      </w:r>
      <w:bookmarkEnd w:id="3"/>
      <w:r w:rsidRPr="008D1904">
        <w:rPr>
          <w:rFonts w:ascii="Arial" w:hAnsi="Arial" w:cs="Arial"/>
          <w:sz w:val="20"/>
          <w:szCs w:val="20"/>
          <w:lang w:eastAsia="de-DE"/>
        </w:rPr>
        <w:t>.</w:t>
      </w:r>
    </w:p>
    <w:p w:rsidR="008D1904" w:rsidRPr="008D1904"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 xml:space="preserve">2. Ernstliche Zweifel daran ergeben sich nicht bereits daraus, dass die Finanzgerichte in bisher zu dieser Frage ergangenen </w:t>
      </w:r>
      <w:proofErr w:type="spellStart"/>
      <w:r w:rsidRPr="008D1904">
        <w:rPr>
          <w:rFonts w:ascii="Arial" w:hAnsi="Arial" w:cs="Arial"/>
          <w:sz w:val="20"/>
          <w:szCs w:val="20"/>
          <w:lang w:eastAsia="de-DE"/>
        </w:rPr>
        <w:t>Hauptsacheentscheidungen</w:t>
      </w:r>
      <w:proofErr w:type="spellEnd"/>
      <w:r w:rsidRPr="008D1904">
        <w:rPr>
          <w:rFonts w:ascii="Arial" w:hAnsi="Arial" w:cs="Arial"/>
          <w:sz w:val="20"/>
          <w:szCs w:val="20"/>
          <w:lang w:eastAsia="de-DE"/>
        </w:rPr>
        <w:t xml:space="preserve"> stets die Anwendbarkeit des </w:t>
      </w:r>
      <w:proofErr w:type="spellStart"/>
      <w:r w:rsidRPr="008D1904">
        <w:rPr>
          <w:rFonts w:ascii="Arial" w:hAnsi="Arial" w:cs="Arial"/>
          <w:sz w:val="20"/>
          <w:szCs w:val="20"/>
          <w:lang w:eastAsia="de-DE"/>
        </w:rPr>
        <w:t>MiLoG</w:t>
      </w:r>
      <w:proofErr w:type="spellEnd"/>
      <w:r w:rsidRPr="008D1904">
        <w:rPr>
          <w:rFonts w:ascii="Arial" w:hAnsi="Arial" w:cs="Arial"/>
          <w:sz w:val="20"/>
          <w:szCs w:val="20"/>
          <w:lang w:eastAsia="de-DE"/>
        </w:rPr>
        <w:t xml:space="preserve"> bejaht, allerdings die Revision zugelassen haben </w:t>
      </w:r>
      <w:bookmarkStart w:id="4" w:name="_retrdlink_38"/>
      <w:r w:rsidRPr="008D1904">
        <w:rPr>
          <w:rFonts w:ascii="Arial" w:hAnsi="Arial" w:cs="Arial"/>
          <w:sz w:val="20"/>
          <w:szCs w:val="20"/>
          <w:lang w:eastAsia="de-DE"/>
        </w:rPr>
        <w:t>(Rn.38)</w:t>
      </w:r>
      <w:bookmarkEnd w:id="4"/>
      <w:r w:rsidRPr="008D1904">
        <w:rPr>
          <w:rFonts w:ascii="Arial" w:hAnsi="Arial" w:cs="Arial"/>
          <w:sz w:val="20"/>
          <w:szCs w:val="20"/>
          <w:lang w:eastAsia="de-DE"/>
        </w:rPr>
        <w:t>(Rn.39)</w:t>
      </w:r>
      <w:bookmarkEnd w:id="2"/>
      <w:r w:rsidRPr="008D1904">
        <w:rPr>
          <w:rFonts w:ascii="Arial" w:hAnsi="Arial" w:cs="Arial"/>
          <w:sz w:val="20"/>
          <w:szCs w:val="20"/>
          <w:lang w:eastAsia="de-DE"/>
        </w:rPr>
        <w:t>.</w:t>
      </w:r>
    </w:p>
    <w:p w:rsidR="008D1904" w:rsidRPr="008D1904"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 xml:space="preserve">3. Jedenfalls für </w:t>
      </w:r>
      <w:proofErr w:type="spellStart"/>
      <w:r w:rsidRPr="008D1904">
        <w:rPr>
          <w:rFonts w:ascii="Arial" w:hAnsi="Arial" w:cs="Arial"/>
          <w:sz w:val="20"/>
          <w:szCs w:val="20"/>
          <w:lang w:eastAsia="de-DE"/>
        </w:rPr>
        <w:t>Kabotagefahrten</w:t>
      </w:r>
      <w:proofErr w:type="spellEnd"/>
      <w:r w:rsidRPr="008D1904">
        <w:rPr>
          <w:rFonts w:ascii="Arial" w:hAnsi="Arial" w:cs="Arial"/>
          <w:sz w:val="20"/>
          <w:szCs w:val="20"/>
          <w:lang w:eastAsia="de-DE"/>
        </w:rPr>
        <w:t xml:space="preserve"> und grenzüberschreitende Beförderungen besteht eine Prüfungsbefugnis der Zollbehörden. Bei den diesbezüglichen Fahrern handelt es sich, soweit sie in Deutschland fahren, um im Inland beschäftigte Arbeitnehmer im Sinne von </w:t>
      </w:r>
      <w:r w:rsidRPr="00F13481">
        <w:rPr>
          <w:rFonts w:ascii="Arial" w:hAnsi="Arial" w:cs="Arial"/>
          <w:sz w:val="20"/>
          <w:szCs w:val="20"/>
          <w:lang w:eastAsia="de-DE"/>
        </w:rPr>
        <w:t xml:space="preserve">§ 20 </w:t>
      </w:r>
      <w:proofErr w:type="spellStart"/>
      <w:r w:rsidRPr="00F13481">
        <w:rPr>
          <w:rFonts w:ascii="Arial" w:hAnsi="Arial" w:cs="Arial"/>
          <w:sz w:val="20"/>
          <w:szCs w:val="20"/>
          <w:lang w:eastAsia="de-DE"/>
        </w:rPr>
        <w:t>MiLoG</w:t>
      </w:r>
      <w:proofErr w:type="spellEnd"/>
      <w:r w:rsidRPr="008D1904">
        <w:rPr>
          <w:rFonts w:ascii="Arial" w:hAnsi="Arial" w:cs="Arial"/>
          <w:sz w:val="20"/>
          <w:szCs w:val="20"/>
          <w:lang w:eastAsia="de-DE"/>
        </w:rPr>
        <w:t xml:space="preserve">. Eine Prüfungsverfügung ist jedenfalls nicht willkürlich, wenn die Durchführung derartiger Fahrten ernsthaft in Betracht kommt </w:t>
      </w:r>
      <w:bookmarkStart w:id="5" w:name="_retrdlink_43"/>
      <w:r w:rsidRPr="008D1904">
        <w:rPr>
          <w:rFonts w:ascii="Arial" w:hAnsi="Arial" w:cs="Arial"/>
          <w:sz w:val="20"/>
          <w:szCs w:val="20"/>
          <w:lang w:eastAsia="de-DE"/>
        </w:rPr>
        <w:t>(Rn.43)</w:t>
      </w:r>
      <w:bookmarkStart w:id="6" w:name="_retrdlink_44"/>
      <w:bookmarkEnd w:id="5"/>
      <w:r w:rsidRPr="008D1904">
        <w:rPr>
          <w:rFonts w:ascii="Arial" w:hAnsi="Arial" w:cs="Arial"/>
          <w:sz w:val="20"/>
          <w:szCs w:val="20"/>
          <w:lang w:eastAsia="de-DE"/>
        </w:rPr>
        <w:t>(Rn.44)</w:t>
      </w:r>
      <w:bookmarkEnd w:id="6"/>
      <w:r w:rsidRPr="008D1904">
        <w:rPr>
          <w:rFonts w:ascii="Arial" w:hAnsi="Arial" w:cs="Arial"/>
          <w:sz w:val="20"/>
          <w:szCs w:val="20"/>
          <w:lang w:eastAsia="de-DE"/>
        </w:rPr>
        <w:t>.</w:t>
      </w:r>
    </w:p>
    <w:p w:rsidR="008D1904" w:rsidRPr="008D1904"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 xml:space="preserve">4. Etwaige Grundrechtseingriffe in </w:t>
      </w:r>
      <w:r w:rsidRPr="00F13481">
        <w:rPr>
          <w:rFonts w:ascii="Arial" w:hAnsi="Arial" w:cs="Arial"/>
          <w:sz w:val="20"/>
          <w:szCs w:val="20"/>
          <w:lang w:eastAsia="de-DE"/>
        </w:rPr>
        <w:t>Art. 12</w:t>
      </w:r>
      <w:r w:rsidRPr="008D1904">
        <w:rPr>
          <w:rFonts w:ascii="Arial" w:hAnsi="Arial" w:cs="Arial"/>
          <w:sz w:val="20"/>
          <w:szCs w:val="20"/>
          <w:lang w:eastAsia="de-DE"/>
        </w:rPr>
        <w:t xml:space="preserve"> und </w:t>
      </w:r>
      <w:r w:rsidRPr="00F13481">
        <w:rPr>
          <w:rFonts w:ascii="Arial" w:hAnsi="Arial" w:cs="Arial"/>
          <w:sz w:val="20"/>
          <w:szCs w:val="20"/>
          <w:lang w:eastAsia="de-DE"/>
        </w:rPr>
        <w:t>14 GG</w:t>
      </w:r>
      <w:r w:rsidRPr="008D1904">
        <w:rPr>
          <w:rFonts w:ascii="Arial" w:hAnsi="Arial" w:cs="Arial"/>
          <w:sz w:val="20"/>
          <w:szCs w:val="20"/>
          <w:lang w:eastAsia="de-DE"/>
        </w:rPr>
        <w:t xml:space="preserve"> wären bei summarischer Prüfung auf Grund der geringen Intensität und der Rechtfertigung des Eingriffs jedenfalls gerechtfertigt </w:t>
      </w:r>
      <w:bookmarkStart w:id="7" w:name="_retrdlink_48"/>
      <w:r w:rsidRPr="008D1904">
        <w:rPr>
          <w:rFonts w:ascii="Arial" w:hAnsi="Arial" w:cs="Arial"/>
          <w:sz w:val="20"/>
          <w:szCs w:val="20"/>
          <w:lang w:eastAsia="de-DE"/>
        </w:rPr>
        <w:t>(Rn.48)</w:t>
      </w:r>
      <w:bookmarkStart w:id="8" w:name="_retrdlink_49"/>
      <w:bookmarkEnd w:id="7"/>
      <w:r w:rsidRPr="008D1904">
        <w:rPr>
          <w:rFonts w:ascii="Arial" w:hAnsi="Arial" w:cs="Arial"/>
          <w:sz w:val="20"/>
          <w:szCs w:val="20"/>
          <w:lang w:eastAsia="de-DE"/>
        </w:rPr>
        <w:t>(Rn.49)</w:t>
      </w:r>
      <w:bookmarkEnd w:id="8"/>
      <w:r w:rsidRPr="008D1904">
        <w:rPr>
          <w:rFonts w:ascii="Arial" w:hAnsi="Arial" w:cs="Arial"/>
          <w:sz w:val="20"/>
          <w:szCs w:val="20"/>
          <w:lang w:eastAsia="de-DE"/>
        </w:rPr>
        <w:t>.</w:t>
      </w:r>
    </w:p>
    <w:p w:rsidR="008D1904" w:rsidRPr="008D1904"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 xml:space="preserve">5. Eine Rechtswidrigkeit der Prüfungsverfügung ergibt sich bei summarischer Prüfung auch nicht aus einem etwaigen Verstoß gegen Unionsrecht </w:t>
      </w:r>
      <w:bookmarkStart w:id="9" w:name="_retrdlink_51"/>
      <w:r w:rsidRPr="008D1904">
        <w:rPr>
          <w:rFonts w:ascii="Arial" w:hAnsi="Arial" w:cs="Arial"/>
          <w:sz w:val="20"/>
          <w:szCs w:val="20"/>
          <w:lang w:eastAsia="de-DE"/>
        </w:rPr>
        <w:t>(Rn.51)</w:t>
      </w:r>
      <w:bookmarkStart w:id="10" w:name="_retrdlink_53"/>
      <w:bookmarkEnd w:id="9"/>
      <w:r w:rsidRPr="008D1904">
        <w:rPr>
          <w:rFonts w:ascii="Arial" w:hAnsi="Arial" w:cs="Arial"/>
          <w:sz w:val="20"/>
          <w:szCs w:val="20"/>
          <w:lang w:eastAsia="de-DE"/>
        </w:rPr>
        <w:t>(Rn.53)</w:t>
      </w:r>
      <w:bookmarkEnd w:id="10"/>
      <w:r w:rsidRPr="008D1904">
        <w:rPr>
          <w:rFonts w:ascii="Arial" w:hAnsi="Arial" w:cs="Arial"/>
          <w:sz w:val="20"/>
          <w:szCs w:val="20"/>
          <w:lang w:eastAsia="de-DE"/>
        </w:rPr>
        <w:t>.</w:t>
      </w:r>
    </w:p>
    <w:p w:rsidR="008D1904" w:rsidRPr="008D1904" w:rsidRDefault="008D1904" w:rsidP="008D1904">
      <w:pPr>
        <w:spacing w:after="0" w:line="240" w:lineRule="auto"/>
        <w:jc w:val="both"/>
        <w:rPr>
          <w:rFonts w:ascii="Arial" w:hAnsi="Arial" w:cs="Arial"/>
          <w:sz w:val="20"/>
          <w:szCs w:val="20"/>
          <w:lang w:eastAsia="de-DE"/>
        </w:rPr>
      </w:pPr>
      <w:r w:rsidRPr="008D1904">
        <w:rPr>
          <w:rFonts w:ascii="Arial" w:hAnsi="Arial" w:cs="Arial"/>
          <w:sz w:val="20"/>
          <w:szCs w:val="20"/>
          <w:lang w:eastAsia="de-DE"/>
        </w:rPr>
        <w:t>6. Beschwerde eingelegt (Az. des BFH: VII B 75/20 (</w:t>
      </w:r>
      <w:proofErr w:type="spellStart"/>
      <w:r w:rsidRPr="008D1904">
        <w:rPr>
          <w:rFonts w:ascii="Arial" w:hAnsi="Arial" w:cs="Arial"/>
          <w:sz w:val="20"/>
          <w:szCs w:val="20"/>
          <w:lang w:eastAsia="de-DE"/>
        </w:rPr>
        <w:t>AdV</w:t>
      </w:r>
      <w:proofErr w:type="spellEnd"/>
      <w:r w:rsidRPr="008D1904">
        <w:rPr>
          <w:rFonts w:ascii="Arial" w:hAnsi="Arial" w:cs="Arial"/>
          <w:sz w:val="20"/>
          <w:szCs w:val="20"/>
          <w:lang w:eastAsia="de-DE"/>
        </w:rPr>
        <w:t>)).</w:t>
      </w:r>
    </w:p>
    <w:p w:rsidR="008D1904" w:rsidRDefault="008D1904" w:rsidP="00C5436C">
      <w:pPr>
        <w:spacing w:after="0" w:line="240" w:lineRule="auto"/>
        <w:jc w:val="both"/>
        <w:rPr>
          <w:rFonts w:ascii="Arial" w:hAnsi="Arial" w:cs="Arial"/>
          <w:sz w:val="20"/>
          <w:szCs w:val="20"/>
          <w:lang w:eastAsia="de-DE"/>
        </w:rPr>
      </w:pPr>
    </w:p>
    <w:p w:rsidR="008D1904" w:rsidRDefault="008D1904" w:rsidP="008D1904">
      <w:pPr>
        <w:spacing w:after="0" w:line="240" w:lineRule="auto"/>
        <w:jc w:val="center"/>
        <w:rPr>
          <w:rFonts w:ascii="Arial" w:hAnsi="Arial" w:cs="Arial"/>
          <w:b/>
          <w:sz w:val="20"/>
          <w:szCs w:val="20"/>
          <w:lang w:eastAsia="de-DE"/>
        </w:rPr>
      </w:pPr>
      <w:r w:rsidRPr="008D1904">
        <w:rPr>
          <w:rFonts w:ascii="Arial" w:hAnsi="Arial" w:cs="Arial"/>
          <w:b/>
          <w:sz w:val="20"/>
          <w:szCs w:val="20"/>
          <w:lang w:eastAsia="de-DE"/>
        </w:rPr>
        <w:t>V.</w:t>
      </w:r>
    </w:p>
    <w:p w:rsidR="00F13481" w:rsidRPr="00F13481" w:rsidRDefault="00F13481" w:rsidP="00F13481">
      <w:pPr>
        <w:spacing w:after="0" w:line="240" w:lineRule="auto"/>
        <w:jc w:val="center"/>
        <w:rPr>
          <w:rFonts w:ascii="Arial" w:hAnsi="Arial" w:cs="Arial"/>
          <w:b/>
          <w:sz w:val="20"/>
          <w:szCs w:val="20"/>
          <w:lang w:eastAsia="de-DE"/>
        </w:rPr>
      </w:pPr>
      <w:r w:rsidRPr="00F13481">
        <w:rPr>
          <w:rFonts w:ascii="Arial" w:hAnsi="Arial" w:cs="Arial"/>
          <w:b/>
          <w:sz w:val="20"/>
          <w:szCs w:val="20"/>
          <w:lang w:eastAsia="de-DE"/>
        </w:rPr>
        <w:t>Stellenanzeige - Diskriminierung - Alter - "junges hochmotiviertes Team"</w:t>
      </w:r>
    </w:p>
    <w:p w:rsidR="00F13481" w:rsidRDefault="00F13481" w:rsidP="008D1904">
      <w:pPr>
        <w:spacing w:after="0" w:line="240" w:lineRule="auto"/>
        <w:jc w:val="center"/>
        <w:rPr>
          <w:rFonts w:ascii="Arial" w:hAnsi="Arial" w:cs="Arial"/>
          <w:sz w:val="20"/>
          <w:szCs w:val="20"/>
          <w:lang w:eastAsia="de-DE"/>
        </w:rPr>
      </w:pPr>
      <w:r w:rsidRPr="00F13481">
        <w:rPr>
          <w:rFonts w:ascii="Arial" w:hAnsi="Arial" w:cs="Arial"/>
          <w:sz w:val="20"/>
          <w:szCs w:val="20"/>
          <w:lang w:eastAsia="de-DE"/>
        </w:rPr>
        <w:t>Landesarbeitsgericht Nürnberg, Urteil vom 27. Mai 2020</w:t>
      </w:r>
      <w:r>
        <w:rPr>
          <w:rFonts w:ascii="Arial" w:hAnsi="Arial" w:cs="Arial"/>
          <w:sz w:val="20"/>
          <w:szCs w:val="20"/>
          <w:lang w:eastAsia="de-DE"/>
        </w:rPr>
        <w:t>, Az.</w:t>
      </w:r>
      <w:r w:rsidRPr="00F13481">
        <w:rPr>
          <w:rFonts w:ascii="Arial" w:hAnsi="Arial" w:cs="Arial"/>
          <w:sz w:val="20"/>
          <w:szCs w:val="20"/>
          <w:lang w:eastAsia="de-DE"/>
        </w:rPr>
        <w:t xml:space="preserve"> 2 Sa 1/20</w:t>
      </w:r>
    </w:p>
    <w:p w:rsidR="00F13481" w:rsidRDefault="00F13481" w:rsidP="00F13481">
      <w:pPr>
        <w:spacing w:after="0" w:line="240" w:lineRule="auto"/>
        <w:jc w:val="both"/>
        <w:rPr>
          <w:rFonts w:ascii="Arial" w:hAnsi="Arial" w:cs="Arial"/>
          <w:sz w:val="20"/>
          <w:szCs w:val="20"/>
          <w:lang w:eastAsia="de-DE"/>
        </w:rPr>
      </w:pPr>
    </w:p>
    <w:p w:rsidR="00F13481" w:rsidRPr="00F13481" w:rsidRDefault="00F13481" w:rsidP="00F13481">
      <w:pPr>
        <w:spacing w:after="0" w:line="240" w:lineRule="auto"/>
        <w:jc w:val="both"/>
        <w:rPr>
          <w:rFonts w:ascii="Arial" w:hAnsi="Arial" w:cs="Arial"/>
          <w:sz w:val="20"/>
          <w:szCs w:val="20"/>
          <w:lang w:eastAsia="de-DE"/>
        </w:rPr>
      </w:pPr>
      <w:r w:rsidRPr="00F13481">
        <w:rPr>
          <w:rFonts w:ascii="Arial" w:hAnsi="Arial" w:cs="Arial"/>
          <w:sz w:val="20"/>
          <w:szCs w:val="20"/>
          <w:lang w:eastAsia="de-DE"/>
        </w:rPr>
        <w:t xml:space="preserve">Die Formulierung in der Stellenausschreibung, wonach dem/der Bewerber/in eine zukunftsorientierte, kreative Mitarbeit in einem „jungen, hochmotivierten Team“ geboten wird, bewirkt eine unmittelbare Diskriminierung wegen des Alters </w:t>
      </w:r>
      <w:proofErr w:type="spellStart"/>
      <w:r w:rsidRPr="00F13481">
        <w:rPr>
          <w:rFonts w:ascii="Arial" w:hAnsi="Arial" w:cs="Arial"/>
          <w:sz w:val="20"/>
          <w:szCs w:val="20"/>
          <w:lang w:eastAsia="de-DE"/>
        </w:rPr>
        <w:t>iSv</w:t>
      </w:r>
      <w:proofErr w:type="spellEnd"/>
      <w:r w:rsidRPr="00F13481">
        <w:rPr>
          <w:rFonts w:ascii="Arial" w:hAnsi="Arial" w:cs="Arial"/>
          <w:sz w:val="20"/>
          <w:szCs w:val="20"/>
          <w:lang w:eastAsia="de-DE"/>
        </w:rPr>
        <w:t>. § 3 Abs. 1 AGG.</w:t>
      </w:r>
    </w:p>
    <w:p w:rsidR="00F13481" w:rsidRPr="00F13481" w:rsidRDefault="00F13481" w:rsidP="00F13481">
      <w:pPr>
        <w:spacing w:after="0" w:line="240" w:lineRule="auto"/>
        <w:jc w:val="both"/>
        <w:rPr>
          <w:rFonts w:ascii="Arial" w:hAnsi="Arial" w:cs="Arial"/>
          <w:sz w:val="20"/>
          <w:szCs w:val="20"/>
          <w:lang w:eastAsia="de-DE"/>
        </w:rPr>
      </w:pPr>
    </w:p>
    <w:p w:rsidR="00757693" w:rsidRDefault="00F13481" w:rsidP="00F13481">
      <w:pPr>
        <w:spacing w:after="0" w:line="240" w:lineRule="auto"/>
        <w:jc w:val="center"/>
        <w:rPr>
          <w:rFonts w:ascii="Arial" w:hAnsi="Arial" w:cs="Arial"/>
          <w:b/>
          <w:sz w:val="20"/>
          <w:szCs w:val="20"/>
          <w:lang w:eastAsia="de-DE"/>
        </w:rPr>
      </w:pPr>
      <w:r w:rsidRPr="00F13481">
        <w:rPr>
          <w:rFonts w:ascii="Arial" w:hAnsi="Arial" w:cs="Arial"/>
          <w:b/>
          <w:sz w:val="20"/>
          <w:szCs w:val="20"/>
          <w:lang w:eastAsia="de-DE"/>
        </w:rPr>
        <w:t>VI.</w:t>
      </w:r>
    </w:p>
    <w:p w:rsidR="00F13481" w:rsidRPr="00F13481" w:rsidRDefault="00F13481" w:rsidP="00F13481">
      <w:pPr>
        <w:spacing w:after="0" w:line="240" w:lineRule="auto"/>
        <w:jc w:val="center"/>
        <w:rPr>
          <w:rFonts w:ascii="Arial" w:hAnsi="Arial" w:cs="Arial"/>
          <w:b/>
          <w:sz w:val="20"/>
          <w:szCs w:val="20"/>
          <w:lang w:eastAsia="de-DE"/>
        </w:rPr>
      </w:pPr>
      <w:r w:rsidRPr="00F13481">
        <w:rPr>
          <w:rFonts w:ascii="Arial" w:hAnsi="Arial" w:cs="Arial"/>
          <w:b/>
          <w:sz w:val="20"/>
          <w:szCs w:val="20"/>
          <w:lang w:eastAsia="de-DE"/>
        </w:rPr>
        <w:t>GmbH: Anfechtungsfrist für eine Anfechtungsklage gegen Gesellschafterbeschlüsse</w:t>
      </w:r>
    </w:p>
    <w:p w:rsidR="00F13481" w:rsidRDefault="00F13481" w:rsidP="00F13481">
      <w:pPr>
        <w:spacing w:after="0" w:line="240" w:lineRule="auto"/>
        <w:jc w:val="center"/>
        <w:rPr>
          <w:rFonts w:ascii="Arial" w:hAnsi="Arial" w:cs="Arial"/>
          <w:sz w:val="20"/>
          <w:szCs w:val="20"/>
          <w:lang w:eastAsia="de-DE"/>
        </w:rPr>
      </w:pPr>
      <w:r w:rsidRPr="00F13481">
        <w:rPr>
          <w:rFonts w:ascii="Arial" w:hAnsi="Arial" w:cs="Arial"/>
          <w:sz w:val="20"/>
          <w:szCs w:val="20"/>
          <w:lang w:eastAsia="de-DE"/>
        </w:rPr>
        <w:t>OLG Dresden, Urteil vom 28. Mai 2020</w:t>
      </w:r>
      <w:r>
        <w:rPr>
          <w:rFonts w:ascii="Arial" w:hAnsi="Arial" w:cs="Arial"/>
          <w:sz w:val="20"/>
          <w:szCs w:val="20"/>
          <w:lang w:eastAsia="de-DE"/>
        </w:rPr>
        <w:t>, Az. 8 U 2611/19</w:t>
      </w:r>
    </w:p>
    <w:p w:rsidR="00F13481" w:rsidRDefault="00F13481" w:rsidP="00F13481">
      <w:pPr>
        <w:spacing w:after="0" w:line="240" w:lineRule="auto"/>
        <w:jc w:val="both"/>
        <w:rPr>
          <w:rFonts w:ascii="Arial" w:hAnsi="Arial" w:cs="Arial"/>
          <w:sz w:val="20"/>
          <w:szCs w:val="20"/>
          <w:lang w:eastAsia="de-DE"/>
        </w:rPr>
      </w:pPr>
    </w:p>
    <w:p w:rsidR="00F13481" w:rsidRPr="00F13481" w:rsidRDefault="00F13481" w:rsidP="00F13481">
      <w:pPr>
        <w:spacing w:after="0" w:line="240" w:lineRule="auto"/>
        <w:jc w:val="both"/>
        <w:rPr>
          <w:rFonts w:ascii="Arial" w:hAnsi="Arial" w:cs="Arial"/>
          <w:sz w:val="20"/>
          <w:szCs w:val="20"/>
          <w:lang w:eastAsia="de-DE"/>
        </w:rPr>
      </w:pPr>
      <w:r w:rsidRPr="00F13481">
        <w:rPr>
          <w:rFonts w:ascii="Arial" w:hAnsi="Arial" w:cs="Arial"/>
          <w:sz w:val="20"/>
          <w:szCs w:val="20"/>
          <w:lang w:eastAsia="de-DE"/>
        </w:rPr>
        <w:t>Zur Anfechtungsfrist für eine Anfechtungsklage gegen Gesellschafterbeschlüsse einer GmbH.</w:t>
      </w:r>
      <w:bookmarkStart w:id="11" w:name="_retrdlink_45"/>
      <w:r w:rsidRPr="00F13481">
        <w:rPr>
          <w:rFonts w:ascii="Arial" w:hAnsi="Arial" w:cs="Arial"/>
          <w:sz w:val="20"/>
          <w:szCs w:val="20"/>
          <w:lang w:eastAsia="de-DE"/>
        </w:rPr>
        <w:t>(Rn.45)</w:t>
      </w:r>
    </w:p>
    <w:p w:rsidR="00F13481" w:rsidRDefault="00F13481" w:rsidP="00F13481">
      <w:pPr>
        <w:spacing w:after="0" w:line="240" w:lineRule="auto"/>
        <w:jc w:val="both"/>
        <w:rPr>
          <w:rFonts w:ascii="Arial" w:hAnsi="Arial" w:cs="Arial"/>
          <w:sz w:val="20"/>
          <w:szCs w:val="20"/>
          <w:lang w:eastAsia="de-DE"/>
        </w:rPr>
      </w:pPr>
    </w:p>
    <w:p w:rsidR="00F13481" w:rsidRPr="00F13481" w:rsidRDefault="00F13481" w:rsidP="00F13481">
      <w:pPr>
        <w:spacing w:after="0" w:line="240" w:lineRule="auto"/>
        <w:jc w:val="both"/>
        <w:rPr>
          <w:rFonts w:ascii="Arial" w:hAnsi="Arial" w:cs="Arial"/>
          <w:sz w:val="20"/>
          <w:szCs w:val="20"/>
          <w:lang w:eastAsia="de-DE"/>
        </w:rPr>
      </w:pPr>
      <w:r w:rsidRPr="00F13481">
        <w:rPr>
          <w:rFonts w:ascii="Arial" w:hAnsi="Arial" w:cs="Arial"/>
          <w:sz w:val="20"/>
          <w:szCs w:val="20"/>
          <w:lang w:eastAsia="de-DE"/>
        </w:rPr>
        <w:t>1. Bei Anfechtungsklagen gegen Beschlüsse der Gesellschafterversammlung einer GmbH ist die Monatsfrist des § 246 Abs. 1 AktG - sofern die Satzung keine abweichende Regelung enthält - grundsätzlich einzuhalten. Wird diese Frist überschritten, kommt es darauf an, ob zwingende Umstände den Gesellschafter an einer früheren klageweisen Geltendmachung des Anfechtungsgrundes gehindert haben. Dabei stellt der Umstand, dass die Weihnachtszeit in den Lauf der Beschlussanfechtungsfrist fällt, keinen Rechtfertigungsgrund für eine Fristüberschreitung dar.</w:t>
      </w:r>
      <w:r>
        <w:rPr>
          <w:rFonts w:ascii="Arial" w:hAnsi="Arial" w:cs="Arial"/>
          <w:sz w:val="20"/>
          <w:szCs w:val="20"/>
          <w:lang w:eastAsia="de-DE"/>
        </w:rPr>
        <w:t xml:space="preserve"> </w:t>
      </w:r>
      <w:r w:rsidRPr="00F13481">
        <w:rPr>
          <w:rFonts w:ascii="Arial" w:hAnsi="Arial" w:cs="Arial"/>
          <w:sz w:val="20"/>
          <w:szCs w:val="20"/>
          <w:lang w:eastAsia="de-DE"/>
        </w:rPr>
        <w:t>(Rn.45)</w:t>
      </w:r>
      <w:bookmarkEnd w:id="11"/>
    </w:p>
    <w:p w:rsidR="00F13481" w:rsidRPr="00F13481" w:rsidRDefault="00F13481" w:rsidP="00F13481">
      <w:pPr>
        <w:spacing w:after="0" w:line="240" w:lineRule="auto"/>
        <w:jc w:val="both"/>
        <w:rPr>
          <w:rFonts w:ascii="Arial" w:hAnsi="Arial" w:cs="Arial"/>
          <w:sz w:val="20"/>
          <w:szCs w:val="20"/>
          <w:lang w:eastAsia="de-DE"/>
        </w:rPr>
      </w:pPr>
      <w:r w:rsidRPr="00F13481">
        <w:rPr>
          <w:rFonts w:ascii="Arial" w:hAnsi="Arial" w:cs="Arial"/>
          <w:sz w:val="20"/>
          <w:szCs w:val="20"/>
          <w:lang w:eastAsia="de-DE"/>
        </w:rPr>
        <w:t>2. Eine mehr als acht Wochen nach Beschlussfassung erhobene Anfechtungsklage entspricht, selbst wenn man eine analoge Anwendung des § 246 Abs. 1 AktG ablehnt, nicht der gebotenen Beschleunigung.</w:t>
      </w:r>
      <w:bookmarkStart w:id="12" w:name="_retrdlink_71"/>
      <w:r w:rsidRPr="00F13481">
        <w:rPr>
          <w:rFonts w:ascii="Arial" w:hAnsi="Arial" w:cs="Arial"/>
          <w:sz w:val="20"/>
          <w:szCs w:val="20"/>
          <w:lang w:eastAsia="de-DE"/>
        </w:rPr>
        <w:t>(Rn.71)</w:t>
      </w:r>
      <w:bookmarkEnd w:id="12"/>
    </w:p>
    <w:p w:rsidR="00F13481" w:rsidRPr="00F13481" w:rsidRDefault="00F13481" w:rsidP="00F13481">
      <w:pPr>
        <w:spacing w:after="0" w:line="240" w:lineRule="auto"/>
        <w:jc w:val="both"/>
        <w:rPr>
          <w:rFonts w:ascii="Arial" w:hAnsi="Arial" w:cs="Arial"/>
          <w:sz w:val="20"/>
          <w:szCs w:val="20"/>
          <w:lang w:eastAsia="de-DE"/>
        </w:rPr>
      </w:pPr>
    </w:p>
    <w:p w:rsidR="00757693" w:rsidRDefault="00F13481" w:rsidP="00F13481">
      <w:pPr>
        <w:spacing w:after="0" w:line="240" w:lineRule="auto"/>
        <w:jc w:val="center"/>
        <w:rPr>
          <w:rFonts w:ascii="Arial" w:hAnsi="Arial" w:cs="Arial"/>
          <w:b/>
          <w:sz w:val="20"/>
          <w:szCs w:val="20"/>
          <w:lang w:eastAsia="de-DE"/>
        </w:rPr>
      </w:pPr>
      <w:r w:rsidRPr="00F13481">
        <w:rPr>
          <w:rFonts w:ascii="Arial" w:hAnsi="Arial" w:cs="Arial"/>
          <w:b/>
          <w:sz w:val="20"/>
          <w:szCs w:val="20"/>
          <w:lang w:eastAsia="de-DE"/>
        </w:rPr>
        <w:t>VII.</w:t>
      </w:r>
    </w:p>
    <w:p w:rsidR="00F13481" w:rsidRPr="00F13481" w:rsidRDefault="00F13481" w:rsidP="00F13481">
      <w:pPr>
        <w:spacing w:after="0" w:line="240" w:lineRule="auto"/>
        <w:jc w:val="center"/>
        <w:rPr>
          <w:rFonts w:ascii="Arial" w:hAnsi="Arial" w:cs="Arial"/>
          <w:b/>
          <w:sz w:val="20"/>
          <w:szCs w:val="20"/>
          <w:lang w:eastAsia="de-DE"/>
        </w:rPr>
      </w:pPr>
      <w:r w:rsidRPr="00F13481">
        <w:rPr>
          <w:rFonts w:ascii="Arial" w:hAnsi="Arial" w:cs="Arial"/>
          <w:b/>
          <w:sz w:val="20"/>
          <w:szCs w:val="20"/>
          <w:lang w:eastAsia="de-DE"/>
        </w:rPr>
        <w:t xml:space="preserve">Sozialversicherungspflicht </w:t>
      </w:r>
      <w:proofErr w:type="spellStart"/>
      <w:r w:rsidRPr="00F13481">
        <w:rPr>
          <w:rFonts w:ascii="Arial" w:hAnsi="Arial" w:cs="Arial"/>
          <w:b/>
          <w:sz w:val="20"/>
          <w:szCs w:val="20"/>
          <w:lang w:eastAsia="de-DE"/>
        </w:rPr>
        <w:t>bzw</w:t>
      </w:r>
      <w:proofErr w:type="spellEnd"/>
      <w:r w:rsidRPr="00F13481">
        <w:rPr>
          <w:rFonts w:ascii="Arial" w:hAnsi="Arial" w:cs="Arial"/>
          <w:b/>
          <w:sz w:val="20"/>
          <w:szCs w:val="20"/>
          <w:lang w:eastAsia="de-DE"/>
        </w:rPr>
        <w:t xml:space="preserve"> -freiheit - beamteter Hochschullehrer - Nebentätigkeit als leitender Klinik- oder Chefarzt an einem Krankenhaus (vorliegend in Form einer GmbH) in Baden Württemberg - abhängige Beschäftigung - separate Rechtsverhältnisse - Hochschulrecht</w:t>
      </w:r>
    </w:p>
    <w:p w:rsidR="00F13481" w:rsidRPr="00F13481" w:rsidRDefault="00F13481" w:rsidP="00F13481">
      <w:pPr>
        <w:spacing w:after="0" w:line="240" w:lineRule="auto"/>
        <w:jc w:val="center"/>
        <w:rPr>
          <w:rFonts w:ascii="Arial" w:hAnsi="Arial" w:cs="Arial"/>
          <w:sz w:val="20"/>
          <w:szCs w:val="20"/>
          <w:lang w:eastAsia="de-DE"/>
        </w:rPr>
      </w:pPr>
      <w:r w:rsidRPr="00F13481">
        <w:rPr>
          <w:rFonts w:ascii="Arial" w:hAnsi="Arial" w:cs="Arial"/>
          <w:sz w:val="20"/>
          <w:szCs w:val="20"/>
          <w:lang w:eastAsia="de-DE"/>
        </w:rPr>
        <w:t>Landessozialgericht Baden-Württemberg, Urteil vom 25. Juni 2020</w:t>
      </w:r>
      <w:r>
        <w:rPr>
          <w:rFonts w:ascii="Arial" w:hAnsi="Arial" w:cs="Arial"/>
          <w:sz w:val="20"/>
          <w:szCs w:val="20"/>
          <w:lang w:eastAsia="de-DE"/>
        </w:rPr>
        <w:t>, Az.</w:t>
      </w:r>
      <w:r w:rsidRPr="00F13481">
        <w:rPr>
          <w:rFonts w:ascii="Arial" w:hAnsi="Arial" w:cs="Arial"/>
          <w:sz w:val="20"/>
          <w:szCs w:val="20"/>
          <w:lang w:eastAsia="de-DE"/>
        </w:rPr>
        <w:t xml:space="preserve"> L 7 BA 1208/18</w:t>
      </w:r>
    </w:p>
    <w:p w:rsidR="00757693" w:rsidRDefault="00757693" w:rsidP="00C5436C">
      <w:pPr>
        <w:spacing w:after="0" w:line="240" w:lineRule="auto"/>
        <w:jc w:val="both"/>
        <w:rPr>
          <w:rFonts w:ascii="Arial" w:hAnsi="Arial" w:cs="Arial"/>
          <w:sz w:val="20"/>
          <w:szCs w:val="20"/>
          <w:lang w:eastAsia="de-DE"/>
        </w:rPr>
      </w:pPr>
    </w:p>
    <w:p w:rsidR="00F13481" w:rsidRPr="00F13481" w:rsidRDefault="00F13481" w:rsidP="00F13481">
      <w:pPr>
        <w:spacing w:after="0" w:line="240" w:lineRule="auto"/>
        <w:jc w:val="both"/>
        <w:rPr>
          <w:rFonts w:ascii="Arial" w:hAnsi="Arial" w:cs="Arial"/>
          <w:sz w:val="20"/>
          <w:szCs w:val="20"/>
          <w:lang w:eastAsia="de-DE"/>
        </w:rPr>
      </w:pPr>
      <w:r w:rsidRPr="00F13481">
        <w:rPr>
          <w:rFonts w:ascii="Arial" w:hAnsi="Arial" w:cs="Arial"/>
          <w:sz w:val="20"/>
          <w:szCs w:val="20"/>
          <w:lang w:eastAsia="de-DE"/>
        </w:rPr>
        <w:t xml:space="preserve">1. Beamtete Hochschullehrer, die daneben als Chefärzte an einem Krankhaus (vorliegend in Form einer GmbH) im Bereich der Krankenversorgung tätig sind, stehen in einem abhängigen Beschäftigungsverhältnis zu dem Krankenhaus. </w:t>
      </w:r>
      <w:bookmarkStart w:id="13" w:name="_retrdlink_141"/>
      <w:r w:rsidRPr="00F13481">
        <w:rPr>
          <w:rFonts w:ascii="Arial" w:hAnsi="Arial" w:cs="Arial"/>
          <w:sz w:val="20"/>
          <w:szCs w:val="20"/>
          <w:lang w:eastAsia="de-DE"/>
        </w:rPr>
        <w:t>(Rn.141)</w:t>
      </w:r>
      <w:bookmarkEnd w:id="13"/>
    </w:p>
    <w:p w:rsidR="00F13481" w:rsidRPr="00F13481" w:rsidRDefault="00F13481" w:rsidP="00F13481">
      <w:pPr>
        <w:spacing w:after="0" w:line="240" w:lineRule="auto"/>
        <w:jc w:val="both"/>
        <w:rPr>
          <w:rFonts w:ascii="Arial" w:hAnsi="Arial" w:cs="Arial"/>
          <w:sz w:val="20"/>
          <w:szCs w:val="20"/>
          <w:lang w:eastAsia="de-DE"/>
        </w:rPr>
      </w:pPr>
      <w:r w:rsidRPr="00F13481">
        <w:rPr>
          <w:rFonts w:ascii="Arial" w:hAnsi="Arial" w:cs="Arial"/>
          <w:sz w:val="20"/>
          <w:szCs w:val="20"/>
          <w:lang w:eastAsia="de-DE"/>
        </w:rPr>
        <w:t xml:space="preserve">2. Eine neben oder unabhängig von dem nach § 27 </w:t>
      </w:r>
      <w:proofErr w:type="spellStart"/>
      <w:r w:rsidRPr="00F13481">
        <w:rPr>
          <w:rFonts w:ascii="Arial" w:hAnsi="Arial" w:cs="Arial"/>
          <w:sz w:val="20"/>
          <w:szCs w:val="20"/>
          <w:lang w:eastAsia="de-DE"/>
        </w:rPr>
        <w:t>Abs</w:t>
      </w:r>
      <w:proofErr w:type="spellEnd"/>
      <w:r w:rsidRPr="00F13481">
        <w:rPr>
          <w:rFonts w:ascii="Arial" w:hAnsi="Arial" w:cs="Arial"/>
          <w:sz w:val="20"/>
          <w:szCs w:val="20"/>
          <w:lang w:eastAsia="de-DE"/>
        </w:rPr>
        <w:t xml:space="preserve"> 1 </w:t>
      </w:r>
      <w:proofErr w:type="spellStart"/>
      <w:r w:rsidRPr="00F13481">
        <w:rPr>
          <w:rFonts w:ascii="Arial" w:hAnsi="Arial" w:cs="Arial"/>
          <w:sz w:val="20"/>
          <w:szCs w:val="20"/>
          <w:lang w:eastAsia="de-DE"/>
        </w:rPr>
        <w:t>Nr</w:t>
      </w:r>
      <w:proofErr w:type="spellEnd"/>
      <w:r w:rsidRPr="00F13481">
        <w:rPr>
          <w:rFonts w:ascii="Arial" w:hAnsi="Arial" w:cs="Arial"/>
          <w:sz w:val="20"/>
          <w:szCs w:val="20"/>
          <w:lang w:eastAsia="de-DE"/>
        </w:rPr>
        <w:t xml:space="preserve"> 1 SGB III versicherungsfreien Beamtenverhältnis ausgeübte Beschäftigung unterliegt - anders als im Krankenversicherungsrecht (§ 6</w:t>
      </w:r>
      <w:r w:rsidRPr="00F13481">
        <w:rPr>
          <w:rFonts w:ascii="Arial" w:hAnsi="Arial" w:cs="Arial"/>
          <w:sz w:val="20"/>
          <w:szCs w:val="20"/>
          <w:u w:val="single"/>
          <w:lang w:eastAsia="de-DE"/>
        </w:rPr>
        <w:t xml:space="preserve"> </w:t>
      </w:r>
      <w:proofErr w:type="spellStart"/>
      <w:r w:rsidRPr="00F13481">
        <w:rPr>
          <w:rFonts w:ascii="Arial" w:hAnsi="Arial" w:cs="Arial"/>
          <w:sz w:val="20"/>
          <w:szCs w:val="20"/>
          <w:lang w:eastAsia="de-DE"/>
        </w:rPr>
        <w:t>Abs</w:t>
      </w:r>
      <w:proofErr w:type="spellEnd"/>
      <w:r w:rsidRPr="00F13481">
        <w:rPr>
          <w:rFonts w:ascii="Arial" w:hAnsi="Arial" w:cs="Arial"/>
          <w:sz w:val="20"/>
          <w:szCs w:val="20"/>
          <w:lang w:eastAsia="de-DE"/>
        </w:rPr>
        <w:t xml:space="preserve"> 3 SGB V) - grundsätzlich der Versicherungspflicht in der Arbeitslosenversicherung. </w:t>
      </w:r>
      <w:bookmarkStart w:id="14" w:name="_retrdlink_143"/>
      <w:r w:rsidRPr="00F13481">
        <w:rPr>
          <w:rFonts w:ascii="Arial" w:hAnsi="Arial" w:cs="Arial"/>
          <w:sz w:val="20"/>
          <w:szCs w:val="20"/>
          <w:lang w:eastAsia="de-DE"/>
        </w:rPr>
        <w:t>(Rn.143)</w:t>
      </w:r>
      <w:bookmarkEnd w:id="14"/>
    </w:p>
    <w:p w:rsidR="00F13481" w:rsidRPr="00F13481" w:rsidRDefault="00F13481" w:rsidP="00F13481">
      <w:pPr>
        <w:spacing w:after="0" w:line="240" w:lineRule="auto"/>
        <w:jc w:val="both"/>
        <w:rPr>
          <w:rFonts w:ascii="Arial" w:hAnsi="Arial" w:cs="Arial"/>
          <w:sz w:val="20"/>
          <w:szCs w:val="20"/>
          <w:lang w:eastAsia="de-DE"/>
        </w:rPr>
      </w:pPr>
      <w:r w:rsidRPr="00F13481">
        <w:rPr>
          <w:rFonts w:ascii="Arial" w:hAnsi="Arial" w:cs="Arial"/>
          <w:sz w:val="20"/>
          <w:szCs w:val="20"/>
          <w:lang w:eastAsia="de-DE"/>
        </w:rPr>
        <w:t xml:space="preserve">3. Das baden-württembergische Hochschulrecht sieht keine zwingende Verknüpfung zwischen der Ernennung zum Universitätsprofessor der Medizin und der Tätigkeit als leitender Klinik- oder Chefarzt an einem Krankenhaus (vorliegend in Form einer GmbH) vor. </w:t>
      </w:r>
      <w:bookmarkStart w:id="15" w:name="_retrdlink_144"/>
      <w:r w:rsidRPr="00F13481">
        <w:rPr>
          <w:rFonts w:ascii="Arial" w:hAnsi="Arial" w:cs="Arial"/>
          <w:sz w:val="20"/>
          <w:szCs w:val="20"/>
          <w:lang w:eastAsia="de-DE"/>
        </w:rPr>
        <w:t>(Rn.144)</w:t>
      </w:r>
      <w:bookmarkEnd w:id="15"/>
    </w:p>
    <w:p w:rsidR="00F13481" w:rsidRPr="00F13481" w:rsidRDefault="00575A8B" w:rsidP="00F13481">
      <w:pPr>
        <w:spacing w:after="0" w:line="240" w:lineRule="auto"/>
        <w:jc w:val="both"/>
        <w:rPr>
          <w:rFonts w:ascii="Arial" w:hAnsi="Arial" w:cs="Arial"/>
          <w:sz w:val="16"/>
          <w:szCs w:val="20"/>
          <w:lang w:eastAsia="de-DE"/>
        </w:rPr>
      </w:pPr>
      <w:hyperlink r:id="rId8" w:history="1">
        <w:r w:rsidR="00F13481" w:rsidRPr="00F13481">
          <w:rPr>
            <w:rStyle w:val="Hyperlink"/>
            <w:rFonts w:ascii="Arial" w:hAnsi="Arial" w:cs="Arial"/>
            <w:sz w:val="16"/>
            <w:szCs w:val="20"/>
            <w:lang w:eastAsia="de-DE"/>
          </w:rPr>
          <w:t>https://lrbw.juris.de/cgi-bin/laender_rechtsprechung/document.py?Gericht=bw&amp;nr=31657</w:t>
        </w:r>
      </w:hyperlink>
    </w:p>
    <w:p w:rsidR="00F13481" w:rsidRPr="00F13481" w:rsidRDefault="00F13481" w:rsidP="00F13481">
      <w:pPr>
        <w:spacing w:after="0" w:line="240" w:lineRule="auto"/>
        <w:jc w:val="both"/>
        <w:rPr>
          <w:rFonts w:ascii="Arial" w:hAnsi="Arial" w:cs="Arial"/>
          <w:sz w:val="20"/>
          <w:szCs w:val="20"/>
          <w:lang w:eastAsia="de-DE"/>
        </w:rPr>
      </w:pPr>
    </w:p>
    <w:p w:rsidR="00F13481" w:rsidRDefault="003661E3" w:rsidP="003661E3">
      <w:pPr>
        <w:spacing w:after="0" w:line="240" w:lineRule="auto"/>
        <w:jc w:val="center"/>
        <w:rPr>
          <w:rFonts w:ascii="Arial" w:hAnsi="Arial" w:cs="Arial"/>
          <w:b/>
          <w:sz w:val="20"/>
          <w:szCs w:val="20"/>
          <w:lang w:eastAsia="de-DE"/>
        </w:rPr>
      </w:pPr>
      <w:r w:rsidRPr="003661E3">
        <w:rPr>
          <w:rFonts w:ascii="Arial" w:hAnsi="Arial" w:cs="Arial"/>
          <w:b/>
          <w:sz w:val="20"/>
          <w:szCs w:val="20"/>
          <w:lang w:eastAsia="de-DE"/>
        </w:rPr>
        <w:t>VIII.</w:t>
      </w:r>
    </w:p>
    <w:p w:rsidR="003661E3" w:rsidRPr="003661E3" w:rsidRDefault="003661E3" w:rsidP="003661E3">
      <w:pPr>
        <w:spacing w:after="0" w:line="240" w:lineRule="auto"/>
        <w:jc w:val="center"/>
        <w:rPr>
          <w:rFonts w:ascii="Arial" w:hAnsi="Arial" w:cs="Arial"/>
          <w:b/>
          <w:sz w:val="20"/>
          <w:szCs w:val="20"/>
          <w:lang w:eastAsia="de-DE"/>
        </w:rPr>
      </w:pPr>
      <w:r w:rsidRPr="003661E3">
        <w:rPr>
          <w:rFonts w:ascii="Arial" w:hAnsi="Arial" w:cs="Arial"/>
          <w:b/>
          <w:sz w:val="20"/>
          <w:szCs w:val="20"/>
          <w:lang w:eastAsia="de-DE"/>
        </w:rPr>
        <w:t>Krankenversicherung - Pflegeversicherung - Beitragspflicht von Leistungen aus einer Berufsunfähigkeitszusatzversicherung - Versorgungsbezug - betriebliche Altersversorgung</w:t>
      </w:r>
    </w:p>
    <w:p w:rsidR="003661E3" w:rsidRPr="003661E3" w:rsidRDefault="003661E3" w:rsidP="003661E3">
      <w:pPr>
        <w:spacing w:after="0" w:line="240" w:lineRule="auto"/>
        <w:jc w:val="center"/>
        <w:rPr>
          <w:rFonts w:ascii="Arial" w:hAnsi="Arial" w:cs="Arial"/>
          <w:sz w:val="20"/>
          <w:szCs w:val="20"/>
          <w:lang w:eastAsia="de-DE"/>
        </w:rPr>
      </w:pPr>
      <w:r w:rsidRPr="003661E3">
        <w:rPr>
          <w:rFonts w:ascii="Arial" w:hAnsi="Arial" w:cs="Arial"/>
          <w:sz w:val="20"/>
          <w:szCs w:val="20"/>
          <w:lang w:eastAsia="de-DE"/>
        </w:rPr>
        <w:t>SG Reutlingen, Urteil vom 08. Juli 2020</w:t>
      </w:r>
      <w:r>
        <w:rPr>
          <w:rFonts w:ascii="Arial" w:hAnsi="Arial" w:cs="Arial"/>
          <w:sz w:val="20"/>
          <w:szCs w:val="20"/>
          <w:lang w:eastAsia="de-DE"/>
        </w:rPr>
        <w:t>, Az.</w:t>
      </w:r>
      <w:r w:rsidRPr="003661E3">
        <w:rPr>
          <w:rFonts w:ascii="Arial" w:hAnsi="Arial" w:cs="Arial"/>
          <w:sz w:val="20"/>
          <w:szCs w:val="20"/>
          <w:lang w:eastAsia="de-DE"/>
        </w:rPr>
        <w:t xml:space="preserve"> S 1 </w:t>
      </w:r>
      <w:r>
        <w:rPr>
          <w:rFonts w:ascii="Arial" w:hAnsi="Arial" w:cs="Arial"/>
          <w:sz w:val="20"/>
          <w:szCs w:val="20"/>
          <w:lang w:eastAsia="de-DE"/>
        </w:rPr>
        <w:t>KR 2098/18</w:t>
      </w:r>
    </w:p>
    <w:p w:rsidR="00BB5B87" w:rsidRDefault="00BB5B87" w:rsidP="00C5436C">
      <w:pPr>
        <w:spacing w:after="0" w:line="240" w:lineRule="auto"/>
        <w:jc w:val="both"/>
        <w:rPr>
          <w:rFonts w:ascii="Arial" w:hAnsi="Arial" w:cs="Arial"/>
          <w:sz w:val="20"/>
          <w:szCs w:val="20"/>
          <w:lang w:eastAsia="de-DE"/>
        </w:rPr>
      </w:pPr>
    </w:p>
    <w:p w:rsidR="003661E3" w:rsidRPr="003661E3" w:rsidRDefault="003661E3" w:rsidP="003661E3">
      <w:pPr>
        <w:spacing w:after="0" w:line="240" w:lineRule="auto"/>
        <w:jc w:val="both"/>
        <w:rPr>
          <w:rFonts w:ascii="Arial" w:hAnsi="Arial" w:cs="Arial"/>
          <w:sz w:val="20"/>
          <w:szCs w:val="20"/>
          <w:lang w:eastAsia="de-DE"/>
        </w:rPr>
      </w:pPr>
      <w:r w:rsidRPr="003661E3">
        <w:rPr>
          <w:rFonts w:ascii="Arial" w:hAnsi="Arial" w:cs="Arial"/>
          <w:sz w:val="20"/>
          <w:szCs w:val="20"/>
          <w:lang w:eastAsia="de-DE"/>
        </w:rPr>
        <w:t>1. Leistungen aus einer Berufsunfähigkeitszusatzversicherung, die von einem Arbeitgeber als Versicherungsnehmer zusammen mit einer Lebensversicherung als Direktversicherung auf einen Arbeitnehmer als Versicherten abgeschlossen wurde, unterliegen als Versorgungsbezüge der Beitragspflicht zur gesetzlichen Krankenversicherung und zur sozialen Pflegeversicherung. (Rn.39) (Rn.44)</w:t>
      </w:r>
    </w:p>
    <w:p w:rsidR="003661E3" w:rsidRPr="003661E3" w:rsidRDefault="003661E3" w:rsidP="003661E3">
      <w:pPr>
        <w:spacing w:after="0" w:line="240" w:lineRule="auto"/>
        <w:jc w:val="both"/>
        <w:rPr>
          <w:rFonts w:ascii="Arial" w:hAnsi="Arial" w:cs="Arial"/>
          <w:sz w:val="20"/>
          <w:szCs w:val="20"/>
          <w:lang w:eastAsia="de-DE"/>
        </w:rPr>
      </w:pPr>
      <w:r w:rsidRPr="003661E3">
        <w:rPr>
          <w:rFonts w:ascii="Arial" w:hAnsi="Arial" w:cs="Arial"/>
          <w:sz w:val="20"/>
          <w:szCs w:val="20"/>
          <w:lang w:eastAsia="de-DE"/>
        </w:rPr>
        <w:t xml:space="preserve">2. Dies gilt sogar dann, wenn die Leistungen aus der Berufsunfähigkeitszusatzversicherung 5 Jahre vor Beginn der Leistungen aus der Lebensversicherung enden. </w:t>
      </w:r>
      <w:bookmarkStart w:id="16" w:name="_retrdlink_50"/>
      <w:r w:rsidRPr="003661E3">
        <w:rPr>
          <w:rFonts w:ascii="Arial" w:hAnsi="Arial" w:cs="Arial"/>
          <w:sz w:val="20"/>
          <w:szCs w:val="20"/>
          <w:lang w:eastAsia="de-DE"/>
        </w:rPr>
        <w:t>(Rn.50)</w:t>
      </w:r>
      <w:bookmarkEnd w:id="16"/>
    </w:p>
    <w:p w:rsidR="004965F8" w:rsidRDefault="004965F8" w:rsidP="00C5436C">
      <w:pPr>
        <w:spacing w:after="0" w:line="240" w:lineRule="auto"/>
        <w:jc w:val="both"/>
        <w:rPr>
          <w:rFonts w:ascii="Arial" w:hAnsi="Arial" w:cs="Arial"/>
          <w:sz w:val="20"/>
          <w:szCs w:val="20"/>
          <w:lang w:eastAsia="de-DE"/>
        </w:rPr>
      </w:pPr>
    </w:p>
    <w:p w:rsidR="003661E3" w:rsidRDefault="003661E3" w:rsidP="003661E3">
      <w:pPr>
        <w:spacing w:after="0" w:line="240" w:lineRule="auto"/>
        <w:jc w:val="center"/>
        <w:rPr>
          <w:rFonts w:ascii="Arial" w:hAnsi="Arial" w:cs="Arial"/>
          <w:b/>
          <w:sz w:val="20"/>
          <w:szCs w:val="20"/>
          <w:lang w:eastAsia="de-DE"/>
        </w:rPr>
      </w:pPr>
      <w:r w:rsidRPr="003661E3">
        <w:rPr>
          <w:rFonts w:ascii="Arial" w:hAnsi="Arial" w:cs="Arial"/>
          <w:b/>
          <w:sz w:val="20"/>
          <w:szCs w:val="20"/>
          <w:lang w:eastAsia="de-DE"/>
        </w:rPr>
        <w:t>IX.</w:t>
      </w:r>
    </w:p>
    <w:p w:rsidR="00575A8B" w:rsidRDefault="00575A8B" w:rsidP="003661E3">
      <w:pPr>
        <w:spacing w:after="0" w:line="240" w:lineRule="auto"/>
        <w:jc w:val="center"/>
        <w:rPr>
          <w:rFonts w:ascii="Arial" w:hAnsi="Arial" w:cs="Arial"/>
          <w:b/>
          <w:sz w:val="20"/>
          <w:szCs w:val="20"/>
          <w:lang w:eastAsia="de-DE"/>
        </w:rPr>
      </w:pPr>
      <w:r>
        <w:rPr>
          <w:rFonts w:ascii="Arial" w:hAnsi="Arial" w:cs="Arial"/>
          <w:b/>
          <w:sz w:val="20"/>
          <w:szCs w:val="20"/>
          <w:lang w:eastAsia="de-DE"/>
        </w:rPr>
        <w:t>Grundbuchberichtigung nach Tod eines GbR-Gesellschafters</w:t>
      </w:r>
    </w:p>
    <w:p w:rsidR="003661E3" w:rsidRPr="003661E3" w:rsidRDefault="003661E3" w:rsidP="003661E3">
      <w:pPr>
        <w:spacing w:after="0" w:line="240" w:lineRule="auto"/>
        <w:jc w:val="center"/>
        <w:rPr>
          <w:rFonts w:ascii="Arial" w:hAnsi="Arial" w:cs="Arial"/>
          <w:sz w:val="20"/>
          <w:szCs w:val="20"/>
          <w:lang w:eastAsia="de-DE"/>
        </w:rPr>
      </w:pPr>
      <w:r w:rsidRPr="003661E3">
        <w:rPr>
          <w:rFonts w:ascii="Arial" w:hAnsi="Arial" w:cs="Arial"/>
          <w:sz w:val="20"/>
          <w:szCs w:val="20"/>
          <w:lang w:eastAsia="de-DE"/>
        </w:rPr>
        <w:t>KG Berlin, Beschluss vom 08.07.2020, Az. 1 W 35/20</w:t>
      </w:r>
    </w:p>
    <w:p w:rsidR="003661E3" w:rsidRDefault="003661E3" w:rsidP="00C5436C">
      <w:pPr>
        <w:spacing w:after="0" w:line="240" w:lineRule="auto"/>
        <w:jc w:val="both"/>
        <w:rPr>
          <w:rFonts w:ascii="Arial" w:hAnsi="Arial" w:cs="Arial"/>
          <w:sz w:val="20"/>
          <w:szCs w:val="20"/>
          <w:lang w:eastAsia="de-DE"/>
        </w:rPr>
      </w:pPr>
    </w:p>
    <w:p w:rsidR="003661E3" w:rsidRPr="003661E3" w:rsidRDefault="003661E3" w:rsidP="003661E3">
      <w:pPr>
        <w:spacing w:after="0" w:line="240" w:lineRule="auto"/>
        <w:jc w:val="both"/>
        <w:rPr>
          <w:rFonts w:ascii="Arial" w:hAnsi="Arial" w:cs="Arial"/>
          <w:sz w:val="20"/>
          <w:szCs w:val="20"/>
          <w:lang w:eastAsia="de-DE"/>
        </w:rPr>
      </w:pPr>
      <w:r w:rsidRPr="003661E3">
        <w:rPr>
          <w:rFonts w:ascii="Arial" w:hAnsi="Arial" w:cs="Arial"/>
          <w:sz w:val="20"/>
          <w:szCs w:val="20"/>
          <w:lang w:eastAsia="de-DE"/>
        </w:rPr>
        <w:t xml:space="preserve">1. Nach dem Tod eines GbR-Gesellschafters kann das Grundbuch auf Bewilligung seines Erben nebst Tatsachenangaben berichtigt werden, aus denen sich ergibt, dass es durch die bewilligte Eintragung richtig wird („schlüssige Darlegung der Unrichtigkeit“). Die Buchposition des verstorbenen GbR-Gesellschafters geht immer auf den Erben über (Fortführung von Senat, Bes. v. 29. März 2016 - 1 W 907/15, NZG 2016, 555). Soll der Verstorbene ersatzlos gelöscht werden, bedarf es keiner Bewilligung der weiteren eingetragenen Gesellschafter (Fortführung von Senat, Bes. v. 19. Juli 2011 - 1 W 491/11, </w:t>
      </w:r>
      <w:proofErr w:type="spellStart"/>
      <w:r w:rsidRPr="003661E3">
        <w:rPr>
          <w:rFonts w:ascii="Arial" w:hAnsi="Arial" w:cs="Arial"/>
          <w:sz w:val="20"/>
          <w:szCs w:val="20"/>
          <w:lang w:eastAsia="de-DE"/>
        </w:rPr>
        <w:t>FGPrax</w:t>
      </w:r>
      <w:proofErr w:type="spellEnd"/>
      <w:r w:rsidRPr="003661E3">
        <w:rPr>
          <w:rFonts w:ascii="Arial" w:hAnsi="Arial" w:cs="Arial"/>
          <w:sz w:val="20"/>
          <w:szCs w:val="20"/>
          <w:lang w:eastAsia="de-DE"/>
        </w:rPr>
        <w:t xml:space="preserve"> 2011, 217 und Bes. v. 30. April 2015 - 1 W 466/15, </w:t>
      </w:r>
      <w:proofErr w:type="spellStart"/>
      <w:r w:rsidRPr="003661E3">
        <w:rPr>
          <w:rFonts w:ascii="Arial" w:hAnsi="Arial" w:cs="Arial"/>
          <w:sz w:val="20"/>
          <w:szCs w:val="20"/>
          <w:lang w:eastAsia="de-DE"/>
        </w:rPr>
        <w:t>FGPrax</w:t>
      </w:r>
      <w:proofErr w:type="spellEnd"/>
      <w:r w:rsidRPr="003661E3">
        <w:rPr>
          <w:rFonts w:ascii="Arial" w:hAnsi="Arial" w:cs="Arial"/>
          <w:sz w:val="20"/>
          <w:szCs w:val="20"/>
          <w:lang w:eastAsia="de-DE"/>
        </w:rPr>
        <w:t xml:space="preserve"> 2015, 153).</w:t>
      </w:r>
    </w:p>
    <w:p w:rsidR="003661E3" w:rsidRPr="003661E3" w:rsidRDefault="003661E3" w:rsidP="003661E3">
      <w:pPr>
        <w:spacing w:after="0" w:line="240" w:lineRule="auto"/>
        <w:jc w:val="both"/>
        <w:rPr>
          <w:rFonts w:ascii="Arial" w:hAnsi="Arial" w:cs="Arial"/>
          <w:sz w:val="20"/>
          <w:szCs w:val="20"/>
          <w:lang w:eastAsia="de-DE"/>
        </w:rPr>
      </w:pPr>
      <w:r w:rsidRPr="003661E3">
        <w:rPr>
          <w:rFonts w:ascii="Arial" w:hAnsi="Arial" w:cs="Arial"/>
          <w:sz w:val="20"/>
          <w:szCs w:val="20"/>
          <w:lang w:eastAsia="de-DE"/>
        </w:rPr>
        <w:t>2. Das Grundbuch kann nicht auf Grund privatschriftlicher Erklärungen berichtigt werden, wenn diese ohne weiteres in der Form des § 29 Abs. 1 GBO abgegeben werden könnten (entgegen OLG München</w:t>
      </w:r>
      <w:r w:rsidRPr="003661E3">
        <w:rPr>
          <w:rFonts w:ascii="Arial" w:hAnsi="Arial" w:cs="Arial"/>
          <w:sz w:val="20"/>
          <w:szCs w:val="20"/>
          <w:u w:val="single"/>
          <w:lang w:eastAsia="de-DE"/>
        </w:rPr>
        <w:t xml:space="preserve">, </w:t>
      </w:r>
      <w:r w:rsidRPr="003661E3">
        <w:rPr>
          <w:rFonts w:ascii="Arial" w:hAnsi="Arial" w:cs="Arial"/>
          <w:sz w:val="20"/>
          <w:szCs w:val="20"/>
          <w:lang w:eastAsia="de-DE"/>
        </w:rPr>
        <w:t xml:space="preserve">Bes. v. 8. Januar 2020 - 34 </w:t>
      </w:r>
      <w:proofErr w:type="spellStart"/>
      <w:r w:rsidRPr="003661E3">
        <w:rPr>
          <w:rFonts w:ascii="Arial" w:hAnsi="Arial" w:cs="Arial"/>
          <w:sz w:val="20"/>
          <w:szCs w:val="20"/>
          <w:lang w:eastAsia="de-DE"/>
        </w:rPr>
        <w:t>Wx</w:t>
      </w:r>
      <w:proofErr w:type="spellEnd"/>
      <w:r w:rsidRPr="003661E3">
        <w:rPr>
          <w:rFonts w:ascii="Arial" w:hAnsi="Arial" w:cs="Arial"/>
          <w:sz w:val="20"/>
          <w:szCs w:val="20"/>
          <w:lang w:eastAsia="de-DE"/>
        </w:rPr>
        <w:t xml:space="preserve"> 420/19, NZG 2020, 191).</w:t>
      </w:r>
    </w:p>
    <w:p w:rsidR="004965F8" w:rsidRDefault="004965F8" w:rsidP="00C5436C">
      <w:pPr>
        <w:spacing w:after="0" w:line="240" w:lineRule="auto"/>
        <w:jc w:val="both"/>
        <w:rPr>
          <w:rFonts w:ascii="Arial" w:hAnsi="Arial" w:cs="Arial"/>
          <w:sz w:val="20"/>
          <w:szCs w:val="20"/>
          <w:lang w:eastAsia="de-DE"/>
        </w:rPr>
      </w:pPr>
    </w:p>
    <w:p w:rsidR="003661E3" w:rsidRDefault="003661E3" w:rsidP="003661E3">
      <w:pPr>
        <w:spacing w:after="0" w:line="240" w:lineRule="auto"/>
        <w:jc w:val="center"/>
        <w:rPr>
          <w:rFonts w:ascii="Arial" w:hAnsi="Arial" w:cs="Arial"/>
          <w:b/>
          <w:sz w:val="20"/>
          <w:szCs w:val="20"/>
          <w:lang w:eastAsia="de-DE"/>
        </w:rPr>
      </w:pPr>
      <w:r w:rsidRPr="003661E3">
        <w:rPr>
          <w:rFonts w:ascii="Arial" w:hAnsi="Arial" w:cs="Arial"/>
          <w:b/>
          <w:sz w:val="20"/>
          <w:szCs w:val="20"/>
          <w:lang w:eastAsia="de-DE"/>
        </w:rPr>
        <w:t>X.</w:t>
      </w:r>
    </w:p>
    <w:p w:rsidR="003661E3" w:rsidRPr="003661E3" w:rsidRDefault="003661E3" w:rsidP="003661E3">
      <w:pPr>
        <w:spacing w:after="0" w:line="240" w:lineRule="auto"/>
        <w:jc w:val="center"/>
        <w:rPr>
          <w:rFonts w:ascii="Arial" w:hAnsi="Arial" w:cs="Arial"/>
          <w:b/>
          <w:sz w:val="20"/>
          <w:szCs w:val="20"/>
          <w:lang w:eastAsia="de-DE"/>
        </w:rPr>
      </w:pPr>
      <w:r w:rsidRPr="003661E3">
        <w:rPr>
          <w:rFonts w:ascii="Arial" w:hAnsi="Arial" w:cs="Arial"/>
          <w:b/>
          <w:sz w:val="20"/>
          <w:szCs w:val="20"/>
          <w:lang w:eastAsia="de-DE"/>
        </w:rPr>
        <w:t>Unlautere Bereitstellung der App "</w:t>
      </w:r>
      <w:proofErr w:type="spellStart"/>
      <w:r w:rsidRPr="003661E3">
        <w:rPr>
          <w:rFonts w:ascii="Arial" w:hAnsi="Arial" w:cs="Arial"/>
          <w:b/>
          <w:sz w:val="20"/>
          <w:szCs w:val="20"/>
          <w:lang w:eastAsia="de-DE"/>
        </w:rPr>
        <w:t>mytaxi</w:t>
      </w:r>
      <w:proofErr w:type="spellEnd"/>
      <w:r w:rsidRPr="003661E3">
        <w:rPr>
          <w:rFonts w:ascii="Arial" w:hAnsi="Arial" w:cs="Arial"/>
          <w:b/>
          <w:sz w:val="20"/>
          <w:szCs w:val="20"/>
          <w:lang w:eastAsia="de-DE"/>
        </w:rPr>
        <w:t>" für die Beförderung von Kunden in Taxis unter Verstoß gegen § 47 Abs. 2 Satz 1 PBefG</w:t>
      </w:r>
    </w:p>
    <w:p w:rsidR="003661E3" w:rsidRPr="003661E3" w:rsidRDefault="003661E3" w:rsidP="003661E3">
      <w:pPr>
        <w:spacing w:after="0" w:line="240" w:lineRule="auto"/>
        <w:jc w:val="center"/>
        <w:rPr>
          <w:rFonts w:ascii="Arial" w:hAnsi="Arial" w:cs="Arial"/>
          <w:sz w:val="20"/>
          <w:szCs w:val="20"/>
          <w:lang w:eastAsia="de-DE"/>
        </w:rPr>
      </w:pPr>
      <w:r w:rsidRPr="003661E3">
        <w:rPr>
          <w:rFonts w:ascii="Arial" w:hAnsi="Arial" w:cs="Arial"/>
          <w:sz w:val="20"/>
          <w:szCs w:val="20"/>
          <w:lang w:eastAsia="de-DE"/>
        </w:rPr>
        <w:t>OLG Frankfurt, Urteil vom 25. Juni 2020</w:t>
      </w:r>
      <w:r>
        <w:rPr>
          <w:rFonts w:ascii="Arial" w:hAnsi="Arial" w:cs="Arial"/>
          <w:sz w:val="20"/>
          <w:szCs w:val="20"/>
          <w:lang w:eastAsia="de-DE"/>
        </w:rPr>
        <w:t>, Az. 6 U 64/19</w:t>
      </w:r>
    </w:p>
    <w:p w:rsidR="004965F8" w:rsidRDefault="004965F8" w:rsidP="00C5436C">
      <w:pPr>
        <w:spacing w:after="0" w:line="240" w:lineRule="auto"/>
        <w:jc w:val="both"/>
        <w:rPr>
          <w:rFonts w:ascii="Arial" w:hAnsi="Arial" w:cs="Arial"/>
          <w:sz w:val="20"/>
          <w:szCs w:val="20"/>
          <w:lang w:eastAsia="de-DE"/>
        </w:rPr>
      </w:pPr>
    </w:p>
    <w:p w:rsidR="003661E3" w:rsidRDefault="003661E3" w:rsidP="003661E3">
      <w:pPr>
        <w:spacing w:after="0" w:line="240" w:lineRule="auto"/>
        <w:jc w:val="both"/>
        <w:rPr>
          <w:rFonts w:ascii="Arial" w:hAnsi="Arial" w:cs="Arial"/>
          <w:sz w:val="20"/>
          <w:szCs w:val="20"/>
          <w:lang w:eastAsia="de-DE"/>
        </w:rPr>
      </w:pPr>
      <w:r w:rsidRPr="003661E3">
        <w:rPr>
          <w:rFonts w:ascii="Arial" w:hAnsi="Arial" w:cs="Arial"/>
          <w:sz w:val="20"/>
          <w:szCs w:val="20"/>
          <w:lang w:eastAsia="de-DE"/>
        </w:rPr>
        <w:t>1. Das Betreiben einer Anwendungssoftware für mobile Endgeräte, die eine direkte Verbindung zwischen einem nahe gelegenen Taxifahrer und einem Fahrgast herstellt und so Beförderungen von Kunden in Taxis ermöglicht, ist unlauter, wenn sie nicht verhindert, dass Beförderungen auch an ortsfremde, nicht konzessionierte Taxifahrer vermittelt werden, die sich unter Verstoß gegen § 47 Abs. 2</w:t>
      </w:r>
      <w:r w:rsidRPr="003661E3">
        <w:rPr>
          <w:rFonts w:ascii="Arial" w:hAnsi="Arial" w:cs="Arial"/>
          <w:sz w:val="20"/>
          <w:szCs w:val="20"/>
          <w:u w:val="single"/>
          <w:lang w:eastAsia="de-DE"/>
        </w:rPr>
        <w:t xml:space="preserve"> </w:t>
      </w:r>
      <w:r w:rsidRPr="003661E3">
        <w:rPr>
          <w:rFonts w:ascii="Arial" w:hAnsi="Arial" w:cs="Arial"/>
          <w:sz w:val="20"/>
          <w:szCs w:val="20"/>
          <w:lang w:eastAsia="de-DE"/>
        </w:rPr>
        <w:t>Satz 1 PBefG bereithalten.</w:t>
      </w:r>
    </w:p>
    <w:p w:rsidR="003661E3" w:rsidRDefault="003661E3" w:rsidP="003661E3">
      <w:pPr>
        <w:spacing w:after="0" w:line="240" w:lineRule="auto"/>
        <w:jc w:val="both"/>
        <w:rPr>
          <w:rFonts w:ascii="Arial" w:hAnsi="Arial" w:cs="Arial"/>
          <w:sz w:val="20"/>
          <w:szCs w:val="20"/>
          <w:lang w:eastAsia="de-DE"/>
        </w:rPr>
      </w:pPr>
      <w:r w:rsidRPr="003661E3">
        <w:rPr>
          <w:rFonts w:ascii="Arial" w:hAnsi="Arial" w:cs="Arial"/>
          <w:sz w:val="20"/>
          <w:szCs w:val="20"/>
          <w:lang w:eastAsia="de-DE"/>
        </w:rPr>
        <w:t>2. Zwischen dem App-Betreiber und den örtlichen Taxiunternehmen besteht ein unmittelbares konkretes Wettbewerbsverhältnis im Sinne von § 2 Abs. 1 Nr. 3 UWG.</w:t>
      </w:r>
    </w:p>
    <w:p w:rsidR="003661E3" w:rsidRDefault="003661E3" w:rsidP="003661E3">
      <w:pPr>
        <w:spacing w:after="0" w:line="240" w:lineRule="auto"/>
        <w:jc w:val="both"/>
        <w:rPr>
          <w:rFonts w:ascii="Arial" w:hAnsi="Arial" w:cs="Arial"/>
          <w:sz w:val="20"/>
          <w:szCs w:val="20"/>
          <w:lang w:eastAsia="de-DE"/>
        </w:rPr>
      </w:pPr>
      <w:r w:rsidRPr="003661E3">
        <w:rPr>
          <w:rFonts w:ascii="Arial" w:hAnsi="Arial" w:cs="Arial"/>
          <w:sz w:val="20"/>
          <w:szCs w:val="20"/>
          <w:lang w:eastAsia="de-DE"/>
        </w:rPr>
        <w:t>3. Die Verantwortlichkeit des App-Betreibers ergibt sich nicht aus einem eigenen Verstoß gegen eine wettbewerbliche Verkehrspflicht im Sinne von § 3 UWG, weil dieser - als Vermittler - nicht Adressat des § 47 Abs. 2 Satz 1 PBefG ist.</w:t>
      </w:r>
    </w:p>
    <w:p w:rsidR="003661E3" w:rsidRDefault="003661E3" w:rsidP="003661E3">
      <w:pPr>
        <w:spacing w:after="0" w:line="240" w:lineRule="auto"/>
        <w:jc w:val="both"/>
        <w:rPr>
          <w:rFonts w:ascii="Arial" w:hAnsi="Arial" w:cs="Arial"/>
          <w:sz w:val="20"/>
          <w:szCs w:val="20"/>
          <w:lang w:eastAsia="de-DE"/>
        </w:rPr>
      </w:pPr>
      <w:r w:rsidRPr="003661E3">
        <w:rPr>
          <w:rFonts w:ascii="Arial" w:hAnsi="Arial" w:cs="Arial"/>
          <w:sz w:val="20"/>
          <w:szCs w:val="20"/>
          <w:lang w:eastAsia="de-DE"/>
        </w:rPr>
        <w:t>4. Der App-Betreiber ist jedoch Teilnehmer eines von einem nicht konzessionierten Taxiunternehmer begangenen Verstoßes nach § 47 Abs. 2 Satz 1 UWG, wenn die Fahrt durch die App vermittelt wurde.</w:t>
      </w:r>
    </w:p>
    <w:p w:rsidR="003661E3" w:rsidRPr="003661E3" w:rsidRDefault="003661E3" w:rsidP="003661E3">
      <w:pPr>
        <w:spacing w:after="0" w:line="240" w:lineRule="auto"/>
        <w:jc w:val="both"/>
        <w:rPr>
          <w:rFonts w:ascii="Arial" w:hAnsi="Arial" w:cs="Arial"/>
          <w:sz w:val="20"/>
          <w:szCs w:val="20"/>
          <w:lang w:eastAsia="de-DE"/>
        </w:rPr>
      </w:pPr>
      <w:r w:rsidRPr="003661E3">
        <w:rPr>
          <w:rFonts w:ascii="Arial" w:hAnsi="Arial" w:cs="Arial"/>
          <w:sz w:val="20"/>
          <w:szCs w:val="20"/>
          <w:lang w:eastAsia="de-DE"/>
        </w:rPr>
        <w:t>5. Der App-Betreiber fördert zumindest bedingt vorsätzlich Wettbewerbsverstöße durch nicht konzessionierte Taxifahrer, wenn er jedenfalls mit der Möglichkeit eines Verstoßes gegen § 47 Abs. 2</w:t>
      </w:r>
      <w:r w:rsidRPr="003661E3">
        <w:rPr>
          <w:rFonts w:ascii="Arial" w:hAnsi="Arial" w:cs="Arial"/>
          <w:sz w:val="20"/>
          <w:szCs w:val="20"/>
          <w:u w:val="single"/>
          <w:lang w:eastAsia="de-DE"/>
        </w:rPr>
        <w:t xml:space="preserve"> </w:t>
      </w:r>
      <w:r w:rsidRPr="003661E3">
        <w:rPr>
          <w:rFonts w:ascii="Arial" w:hAnsi="Arial" w:cs="Arial"/>
          <w:sz w:val="20"/>
          <w:szCs w:val="20"/>
          <w:lang w:eastAsia="de-DE"/>
        </w:rPr>
        <w:t>PBefG rechnet. Dies kann dann der Fall sein, wenn ihm vor der Abmahnung bereits andere Verstöße bekannt waren.</w:t>
      </w:r>
    </w:p>
    <w:p w:rsidR="004965F8" w:rsidRDefault="004965F8" w:rsidP="00C5436C">
      <w:pPr>
        <w:spacing w:after="0" w:line="240" w:lineRule="auto"/>
        <w:jc w:val="both"/>
        <w:rPr>
          <w:rFonts w:ascii="Arial" w:hAnsi="Arial" w:cs="Arial"/>
          <w:sz w:val="20"/>
          <w:szCs w:val="20"/>
          <w:lang w:eastAsia="de-DE"/>
        </w:rPr>
      </w:pPr>
    </w:p>
    <w:p w:rsidR="003661E3" w:rsidRPr="003661E3" w:rsidRDefault="003661E3" w:rsidP="003661E3">
      <w:pPr>
        <w:spacing w:after="0" w:line="240" w:lineRule="auto"/>
        <w:jc w:val="both"/>
        <w:rPr>
          <w:rFonts w:ascii="Arial" w:hAnsi="Arial" w:cs="Arial"/>
          <w:sz w:val="20"/>
          <w:szCs w:val="20"/>
          <w:lang w:eastAsia="de-DE"/>
        </w:rPr>
      </w:pPr>
      <w:r w:rsidRPr="003661E3">
        <w:rPr>
          <w:rFonts w:ascii="Arial" w:hAnsi="Arial" w:cs="Arial"/>
          <w:sz w:val="20"/>
          <w:szCs w:val="20"/>
          <w:lang w:eastAsia="de-DE"/>
        </w:rPr>
        <w:t>Für Rückfragen stehe ich Ihnen gerne zur Verfügung.</w:t>
      </w:r>
    </w:p>
    <w:p w:rsidR="003661E3" w:rsidRPr="003661E3" w:rsidRDefault="003661E3" w:rsidP="003661E3">
      <w:pPr>
        <w:spacing w:after="0" w:line="240" w:lineRule="auto"/>
        <w:jc w:val="both"/>
        <w:rPr>
          <w:rFonts w:ascii="Arial" w:hAnsi="Arial" w:cs="Arial"/>
          <w:sz w:val="20"/>
          <w:szCs w:val="20"/>
          <w:lang w:eastAsia="de-DE"/>
        </w:rPr>
      </w:pPr>
    </w:p>
    <w:p w:rsidR="003661E3" w:rsidRPr="00575A8B" w:rsidRDefault="003661E3" w:rsidP="003661E3">
      <w:pPr>
        <w:spacing w:after="0" w:line="240" w:lineRule="auto"/>
        <w:jc w:val="both"/>
        <w:rPr>
          <w:rFonts w:ascii="Arial" w:hAnsi="Arial" w:cs="Arial"/>
          <w:sz w:val="18"/>
          <w:szCs w:val="18"/>
          <w:lang w:eastAsia="de-DE"/>
        </w:rPr>
      </w:pPr>
      <w:r w:rsidRPr="00575A8B">
        <w:rPr>
          <w:rFonts w:ascii="Arial" w:hAnsi="Arial" w:cs="Arial"/>
          <w:sz w:val="18"/>
          <w:szCs w:val="18"/>
          <w:lang w:eastAsia="de-DE"/>
        </w:rPr>
        <w:t>Michael Henn</w:t>
      </w:r>
    </w:p>
    <w:p w:rsidR="003661E3" w:rsidRPr="00575A8B" w:rsidRDefault="003661E3" w:rsidP="003661E3">
      <w:pPr>
        <w:spacing w:after="0" w:line="240" w:lineRule="auto"/>
        <w:jc w:val="both"/>
        <w:rPr>
          <w:rFonts w:ascii="Arial" w:hAnsi="Arial" w:cs="Arial"/>
          <w:sz w:val="18"/>
          <w:szCs w:val="18"/>
          <w:lang w:eastAsia="de-DE"/>
        </w:rPr>
      </w:pPr>
      <w:r w:rsidRPr="00575A8B">
        <w:rPr>
          <w:rFonts w:ascii="Arial" w:hAnsi="Arial" w:cs="Arial"/>
          <w:sz w:val="18"/>
          <w:szCs w:val="18"/>
          <w:lang w:eastAsia="de-DE"/>
        </w:rPr>
        <w:t>Rechtsanwalt</w:t>
      </w:r>
    </w:p>
    <w:p w:rsidR="003661E3" w:rsidRPr="00575A8B" w:rsidRDefault="003661E3" w:rsidP="003661E3">
      <w:pPr>
        <w:spacing w:after="0" w:line="240" w:lineRule="auto"/>
        <w:jc w:val="both"/>
        <w:rPr>
          <w:rFonts w:ascii="Arial" w:hAnsi="Arial" w:cs="Arial"/>
          <w:sz w:val="18"/>
          <w:szCs w:val="18"/>
          <w:lang w:eastAsia="de-DE"/>
        </w:rPr>
      </w:pPr>
      <w:r w:rsidRPr="00575A8B">
        <w:rPr>
          <w:rFonts w:ascii="Arial" w:hAnsi="Arial" w:cs="Arial"/>
          <w:sz w:val="18"/>
          <w:szCs w:val="18"/>
          <w:lang w:eastAsia="de-DE"/>
        </w:rPr>
        <w:t>Fachanwalt für Erbrecht</w:t>
      </w:r>
    </w:p>
    <w:p w:rsidR="003661E3" w:rsidRPr="00575A8B" w:rsidRDefault="003661E3" w:rsidP="003661E3">
      <w:pPr>
        <w:spacing w:after="0" w:line="240" w:lineRule="auto"/>
        <w:jc w:val="both"/>
        <w:rPr>
          <w:rFonts w:ascii="Arial" w:hAnsi="Arial" w:cs="Arial"/>
          <w:sz w:val="18"/>
          <w:szCs w:val="18"/>
          <w:lang w:eastAsia="de-DE"/>
        </w:rPr>
      </w:pPr>
      <w:r w:rsidRPr="00575A8B">
        <w:rPr>
          <w:rFonts w:ascii="Arial" w:hAnsi="Arial" w:cs="Arial"/>
          <w:sz w:val="18"/>
          <w:szCs w:val="18"/>
          <w:lang w:eastAsia="de-DE"/>
        </w:rPr>
        <w:t xml:space="preserve">Fachanwalt für Arbeitsrecht </w:t>
      </w:r>
    </w:p>
    <w:p w:rsidR="003661E3" w:rsidRPr="00575A8B" w:rsidRDefault="003661E3" w:rsidP="003661E3">
      <w:pPr>
        <w:spacing w:after="0" w:line="240" w:lineRule="auto"/>
        <w:jc w:val="both"/>
        <w:rPr>
          <w:rFonts w:ascii="Arial" w:hAnsi="Arial" w:cs="Arial"/>
          <w:sz w:val="18"/>
          <w:szCs w:val="18"/>
          <w:lang w:eastAsia="de-DE"/>
        </w:rPr>
      </w:pPr>
      <w:r w:rsidRPr="00575A8B">
        <w:rPr>
          <w:rFonts w:ascii="Arial" w:hAnsi="Arial" w:cs="Arial"/>
          <w:sz w:val="18"/>
          <w:szCs w:val="18"/>
          <w:lang w:eastAsia="de-DE"/>
        </w:rPr>
        <w:t xml:space="preserve">Schriftleiter mittelstandsdepesche </w:t>
      </w:r>
    </w:p>
    <w:p w:rsidR="003661E3" w:rsidRPr="00575A8B" w:rsidRDefault="003661E3" w:rsidP="003661E3">
      <w:pPr>
        <w:spacing w:after="0" w:line="240" w:lineRule="auto"/>
        <w:jc w:val="both"/>
        <w:rPr>
          <w:rFonts w:ascii="Arial" w:hAnsi="Arial" w:cs="Arial"/>
          <w:sz w:val="18"/>
          <w:szCs w:val="18"/>
          <w:lang w:eastAsia="de-DE"/>
        </w:rPr>
      </w:pPr>
      <w:r w:rsidRPr="00575A8B">
        <w:rPr>
          <w:rFonts w:ascii="Arial" w:hAnsi="Arial" w:cs="Arial"/>
          <w:sz w:val="18"/>
          <w:szCs w:val="18"/>
          <w:lang w:eastAsia="de-DE"/>
        </w:rPr>
        <w:t xml:space="preserve">Rechtsanwälte Dr. Gaupp &amp; </w:t>
      </w:r>
      <w:proofErr w:type="spellStart"/>
      <w:r w:rsidRPr="00575A8B">
        <w:rPr>
          <w:rFonts w:ascii="Arial" w:hAnsi="Arial" w:cs="Arial"/>
          <w:sz w:val="18"/>
          <w:szCs w:val="18"/>
          <w:lang w:eastAsia="de-DE"/>
        </w:rPr>
        <w:t>Coll</w:t>
      </w:r>
      <w:proofErr w:type="spellEnd"/>
      <w:r w:rsidRPr="00575A8B">
        <w:rPr>
          <w:rFonts w:ascii="Arial" w:hAnsi="Arial" w:cs="Arial"/>
          <w:sz w:val="18"/>
          <w:szCs w:val="18"/>
          <w:lang w:eastAsia="de-DE"/>
        </w:rPr>
        <w:t>.</w:t>
      </w:r>
    </w:p>
    <w:p w:rsidR="003661E3" w:rsidRPr="00575A8B" w:rsidRDefault="003661E3" w:rsidP="003661E3">
      <w:pPr>
        <w:spacing w:after="0" w:line="240" w:lineRule="auto"/>
        <w:jc w:val="both"/>
        <w:rPr>
          <w:rFonts w:ascii="Arial" w:hAnsi="Arial" w:cs="Arial"/>
          <w:sz w:val="18"/>
          <w:szCs w:val="18"/>
          <w:lang w:eastAsia="de-DE"/>
        </w:rPr>
      </w:pPr>
      <w:r w:rsidRPr="00575A8B">
        <w:rPr>
          <w:rFonts w:ascii="Arial" w:hAnsi="Arial" w:cs="Arial"/>
          <w:sz w:val="18"/>
          <w:szCs w:val="18"/>
          <w:lang w:eastAsia="de-DE"/>
        </w:rPr>
        <w:t xml:space="preserve">Kronprinzstr. 14 </w:t>
      </w:r>
      <w:r w:rsidR="00575A8B" w:rsidRPr="00575A8B">
        <w:rPr>
          <w:rFonts w:ascii="Arial" w:hAnsi="Arial" w:cs="Arial"/>
          <w:sz w:val="18"/>
          <w:szCs w:val="18"/>
          <w:lang w:eastAsia="de-DE"/>
        </w:rPr>
        <w:tab/>
      </w:r>
      <w:r w:rsidRPr="00575A8B">
        <w:rPr>
          <w:rFonts w:ascii="Arial" w:hAnsi="Arial" w:cs="Arial"/>
          <w:sz w:val="18"/>
          <w:szCs w:val="18"/>
          <w:lang w:eastAsia="de-DE"/>
        </w:rPr>
        <w:t>70173 Stuttgart</w:t>
      </w:r>
    </w:p>
    <w:p w:rsidR="003661E3" w:rsidRPr="00575A8B" w:rsidRDefault="003661E3" w:rsidP="003661E3">
      <w:pPr>
        <w:spacing w:after="0" w:line="240" w:lineRule="auto"/>
        <w:jc w:val="both"/>
        <w:rPr>
          <w:rFonts w:ascii="Arial" w:hAnsi="Arial" w:cs="Arial"/>
          <w:sz w:val="18"/>
          <w:szCs w:val="18"/>
          <w:lang w:eastAsia="de-DE"/>
        </w:rPr>
      </w:pPr>
      <w:r w:rsidRPr="00575A8B">
        <w:rPr>
          <w:rFonts w:ascii="Arial" w:hAnsi="Arial" w:cs="Arial"/>
          <w:sz w:val="18"/>
          <w:szCs w:val="18"/>
          <w:lang w:eastAsia="de-DE"/>
        </w:rPr>
        <w:t>Tel.: 0711/ 30 58 93-0</w:t>
      </w:r>
      <w:r w:rsidRPr="00575A8B">
        <w:rPr>
          <w:rFonts w:ascii="Arial" w:hAnsi="Arial" w:cs="Arial"/>
          <w:sz w:val="18"/>
          <w:szCs w:val="18"/>
          <w:lang w:eastAsia="de-DE"/>
        </w:rPr>
        <w:tab/>
      </w:r>
      <w:r w:rsidRPr="00575A8B">
        <w:rPr>
          <w:rFonts w:ascii="Arial" w:hAnsi="Arial" w:cs="Arial"/>
          <w:sz w:val="18"/>
          <w:szCs w:val="18"/>
          <w:lang w:eastAsia="de-DE"/>
        </w:rPr>
        <w:tab/>
        <w:t>Fax: 0711/ 30 58 93-11</w:t>
      </w:r>
    </w:p>
    <w:p w:rsidR="003661E3" w:rsidRPr="00575A8B" w:rsidRDefault="003661E3" w:rsidP="003661E3">
      <w:pPr>
        <w:spacing w:after="0" w:line="240" w:lineRule="auto"/>
        <w:jc w:val="both"/>
        <w:rPr>
          <w:rFonts w:ascii="Arial" w:hAnsi="Arial" w:cs="Arial"/>
          <w:sz w:val="18"/>
          <w:szCs w:val="18"/>
          <w:lang w:eastAsia="de-DE"/>
        </w:rPr>
      </w:pPr>
      <w:r w:rsidRPr="00575A8B">
        <w:rPr>
          <w:rFonts w:ascii="Arial" w:hAnsi="Arial" w:cs="Arial"/>
          <w:sz w:val="18"/>
          <w:szCs w:val="18"/>
          <w:lang w:eastAsia="de-DE"/>
        </w:rPr>
        <w:t xml:space="preserve">E-Mail: </w:t>
      </w:r>
      <w:hyperlink r:id="rId9" w:history="1">
        <w:r w:rsidRPr="00575A8B">
          <w:rPr>
            <w:rFonts w:ascii="Arial" w:hAnsi="Arial" w:cs="Arial"/>
            <w:color w:val="0563C1"/>
            <w:sz w:val="18"/>
            <w:szCs w:val="18"/>
            <w:u w:val="single"/>
            <w:lang w:eastAsia="de-DE"/>
          </w:rPr>
          <w:t>henn@drgaupp.de</w:t>
        </w:r>
      </w:hyperlink>
      <w:r w:rsidRPr="00575A8B">
        <w:rPr>
          <w:rFonts w:ascii="Arial" w:hAnsi="Arial" w:cs="Arial"/>
          <w:sz w:val="18"/>
          <w:szCs w:val="18"/>
          <w:lang w:eastAsia="de-DE"/>
        </w:rPr>
        <w:tab/>
      </w:r>
      <w:r w:rsidR="00575A8B">
        <w:rPr>
          <w:rFonts w:ascii="Arial" w:hAnsi="Arial" w:cs="Arial"/>
          <w:sz w:val="18"/>
          <w:szCs w:val="18"/>
          <w:lang w:eastAsia="de-DE"/>
        </w:rPr>
        <w:tab/>
      </w:r>
      <w:bookmarkStart w:id="17" w:name="_GoBack"/>
      <w:bookmarkEnd w:id="17"/>
      <w:r w:rsidR="00575A8B" w:rsidRPr="00575A8B">
        <w:rPr>
          <w:rFonts w:ascii="Arial" w:hAnsi="Arial" w:cs="Arial"/>
          <w:color w:val="0563C1"/>
          <w:sz w:val="18"/>
          <w:szCs w:val="18"/>
          <w:u w:val="single"/>
          <w:lang w:eastAsia="de-DE"/>
        </w:rPr>
        <w:fldChar w:fldCharType="begin"/>
      </w:r>
      <w:r w:rsidR="00575A8B" w:rsidRPr="00575A8B">
        <w:rPr>
          <w:rFonts w:ascii="Arial" w:hAnsi="Arial" w:cs="Arial"/>
          <w:color w:val="0563C1"/>
          <w:sz w:val="18"/>
          <w:szCs w:val="18"/>
          <w:u w:val="single"/>
          <w:lang w:eastAsia="de-DE"/>
        </w:rPr>
        <w:instrText xml:space="preserve"> HYPERLINK "http://www.drgaupp.de" </w:instrText>
      </w:r>
      <w:r w:rsidR="00575A8B" w:rsidRPr="00575A8B">
        <w:rPr>
          <w:rFonts w:ascii="Arial" w:hAnsi="Arial" w:cs="Arial"/>
          <w:color w:val="0563C1"/>
          <w:sz w:val="18"/>
          <w:szCs w:val="18"/>
          <w:u w:val="single"/>
          <w:lang w:eastAsia="de-DE"/>
        </w:rPr>
        <w:fldChar w:fldCharType="separate"/>
      </w:r>
      <w:r w:rsidRPr="00575A8B">
        <w:rPr>
          <w:rFonts w:ascii="Arial" w:hAnsi="Arial" w:cs="Arial"/>
          <w:color w:val="0563C1"/>
          <w:sz w:val="18"/>
          <w:szCs w:val="18"/>
          <w:u w:val="single"/>
          <w:lang w:eastAsia="de-DE"/>
        </w:rPr>
        <w:t>www.drgaupp.de</w:t>
      </w:r>
      <w:r w:rsidR="00575A8B" w:rsidRPr="00575A8B">
        <w:rPr>
          <w:rFonts w:ascii="Arial" w:hAnsi="Arial" w:cs="Arial"/>
          <w:color w:val="0563C1"/>
          <w:sz w:val="18"/>
          <w:szCs w:val="18"/>
          <w:u w:val="single"/>
          <w:lang w:eastAsia="de-DE"/>
        </w:rPr>
        <w:fldChar w:fldCharType="end"/>
      </w:r>
    </w:p>
    <w:sectPr w:rsidR="003661E3" w:rsidRPr="00575A8B">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AE6" w:rsidRDefault="00AE4AE6" w:rsidP="00AE4AE6">
      <w:pPr>
        <w:spacing w:after="0" w:line="240" w:lineRule="auto"/>
      </w:pPr>
      <w:r>
        <w:separator/>
      </w:r>
    </w:p>
  </w:endnote>
  <w:endnote w:type="continuationSeparator" w:id="0">
    <w:p w:rsidR="00AE4AE6" w:rsidRDefault="00AE4AE6" w:rsidP="00AE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AE6" w:rsidRDefault="00AE4AE6" w:rsidP="00AE4AE6">
      <w:pPr>
        <w:spacing w:after="0" w:line="240" w:lineRule="auto"/>
      </w:pPr>
      <w:r>
        <w:separator/>
      </w:r>
    </w:p>
  </w:footnote>
  <w:footnote w:type="continuationSeparator" w:id="0">
    <w:p w:rsidR="00AE4AE6" w:rsidRDefault="00AE4AE6" w:rsidP="00AE4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E6" w:rsidRPr="00AE4AE6" w:rsidRDefault="00AE4AE6" w:rsidP="00AE4AE6">
    <w:pPr>
      <w:tabs>
        <w:tab w:val="center" w:pos="4819"/>
        <w:tab w:val="right" w:pos="9071"/>
      </w:tabs>
      <w:spacing w:after="0" w:line="240" w:lineRule="auto"/>
      <w:jc w:val="center"/>
      <w:rPr>
        <w:rFonts w:ascii="Arial" w:hAnsi="Arial" w:cs="Arial"/>
        <w:szCs w:val="20"/>
      </w:rPr>
    </w:pPr>
    <w:r w:rsidRPr="00AE4AE6">
      <w:rPr>
        <w:rFonts w:ascii="Arial" w:hAnsi="Arial" w:cs="Arial"/>
        <w:b/>
        <w:bCs/>
        <w:sz w:val="28"/>
        <w:szCs w:val="28"/>
      </w:rPr>
      <w:t>mittelstandsdepesche 0</w:t>
    </w:r>
    <w:r>
      <w:rPr>
        <w:rFonts w:ascii="Arial" w:hAnsi="Arial" w:cs="Arial"/>
        <w:b/>
        <w:bCs/>
        <w:sz w:val="28"/>
        <w:szCs w:val="28"/>
      </w:rPr>
      <w:t>7</w:t>
    </w:r>
    <w:r w:rsidRPr="00AE4AE6">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579E9"/>
    <w:multiLevelType w:val="multilevel"/>
    <w:tmpl w:val="5E6C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F6E6C"/>
    <w:multiLevelType w:val="multilevel"/>
    <w:tmpl w:val="0D52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02482"/>
    <w:multiLevelType w:val="multilevel"/>
    <w:tmpl w:val="80FC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71A38"/>
    <w:multiLevelType w:val="multilevel"/>
    <w:tmpl w:val="2B6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E4C40"/>
    <w:multiLevelType w:val="multilevel"/>
    <w:tmpl w:val="DBDE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202FC1"/>
    <w:multiLevelType w:val="multilevel"/>
    <w:tmpl w:val="90E4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24353"/>
    <w:multiLevelType w:val="multilevel"/>
    <w:tmpl w:val="2904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196A48"/>
    <w:multiLevelType w:val="multilevel"/>
    <w:tmpl w:val="32F0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732F63"/>
    <w:multiLevelType w:val="multilevel"/>
    <w:tmpl w:val="51A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E072F"/>
    <w:multiLevelType w:val="multilevel"/>
    <w:tmpl w:val="AA7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0"/>
  </w:num>
  <w:num w:numId="5">
    <w:abstractNumId w:val="1"/>
  </w:num>
  <w:num w:numId="6">
    <w:abstractNumId w:val="3"/>
  </w:num>
  <w:num w:numId="7">
    <w:abstractNumId w:val="5"/>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6C"/>
    <w:rsid w:val="001B21BD"/>
    <w:rsid w:val="003661E3"/>
    <w:rsid w:val="004965F8"/>
    <w:rsid w:val="00575A8B"/>
    <w:rsid w:val="00757693"/>
    <w:rsid w:val="007B151B"/>
    <w:rsid w:val="008D1904"/>
    <w:rsid w:val="00AE4AE6"/>
    <w:rsid w:val="00BB5B87"/>
    <w:rsid w:val="00C5436C"/>
    <w:rsid w:val="00F0580C"/>
    <w:rsid w:val="00F13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2724F-8885-4B21-A9C8-7708FA4E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75769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75769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4A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4AE6"/>
  </w:style>
  <w:style w:type="paragraph" w:styleId="Fuzeile">
    <w:name w:val="footer"/>
    <w:basedOn w:val="Standard"/>
    <w:link w:val="FuzeileZchn"/>
    <w:uiPriority w:val="99"/>
    <w:unhideWhenUsed/>
    <w:rsid w:val="00AE4A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4AE6"/>
  </w:style>
  <w:style w:type="character" w:styleId="Hyperlink">
    <w:name w:val="Hyperlink"/>
    <w:basedOn w:val="Absatz-Standardschriftart"/>
    <w:uiPriority w:val="99"/>
    <w:unhideWhenUsed/>
    <w:rsid w:val="00AE4AE6"/>
    <w:rPr>
      <w:color w:val="0563C1" w:themeColor="hyperlink"/>
      <w:u w:val="single"/>
    </w:rPr>
  </w:style>
  <w:style w:type="character" w:customStyle="1" w:styleId="berschrift2Zchn">
    <w:name w:val="Überschrift 2 Zchn"/>
    <w:basedOn w:val="Absatz-Standardschriftart"/>
    <w:link w:val="berschrift2"/>
    <w:uiPriority w:val="9"/>
    <w:rsid w:val="00757693"/>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757693"/>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757693"/>
    <w:rPr>
      <w:b/>
      <w:bCs/>
    </w:rPr>
  </w:style>
  <w:style w:type="character" w:customStyle="1" w:styleId="doclink">
    <w:name w:val="doclink"/>
    <w:basedOn w:val="Absatz-Standardschriftart"/>
    <w:rsid w:val="00757693"/>
  </w:style>
  <w:style w:type="paragraph" w:styleId="StandardWeb">
    <w:name w:val="Normal (Web)"/>
    <w:basedOn w:val="Standard"/>
    <w:uiPriority w:val="99"/>
    <w:semiHidden/>
    <w:unhideWhenUsed/>
    <w:rsid w:val="0075769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3892">
      <w:bodyDiv w:val="1"/>
      <w:marLeft w:val="0"/>
      <w:marRight w:val="0"/>
      <w:marTop w:val="0"/>
      <w:marBottom w:val="0"/>
      <w:divBdr>
        <w:top w:val="none" w:sz="0" w:space="0" w:color="auto"/>
        <w:left w:val="none" w:sz="0" w:space="0" w:color="auto"/>
        <w:bottom w:val="none" w:sz="0" w:space="0" w:color="auto"/>
        <w:right w:val="none" w:sz="0" w:space="0" w:color="auto"/>
      </w:divBdr>
      <w:divsChild>
        <w:div w:id="850680198">
          <w:marLeft w:val="0"/>
          <w:marRight w:val="0"/>
          <w:marTop w:val="0"/>
          <w:marBottom w:val="0"/>
          <w:divBdr>
            <w:top w:val="none" w:sz="0" w:space="0" w:color="auto"/>
            <w:left w:val="none" w:sz="0" w:space="0" w:color="auto"/>
            <w:bottom w:val="none" w:sz="0" w:space="0" w:color="auto"/>
            <w:right w:val="none" w:sz="0" w:space="0" w:color="auto"/>
          </w:divBdr>
          <w:divsChild>
            <w:div w:id="1996060625">
              <w:marLeft w:val="0"/>
              <w:marRight w:val="0"/>
              <w:marTop w:val="0"/>
              <w:marBottom w:val="0"/>
              <w:divBdr>
                <w:top w:val="none" w:sz="0" w:space="0" w:color="auto"/>
                <w:left w:val="none" w:sz="0" w:space="0" w:color="auto"/>
                <w:bottom w:val="none" w:sz="0" w:space="0" w:color="auto"/>
                <w:right w:val="none" w:sz="0" w:space="0" w:color="auto"/>
              </w:divBdr>
              <w:divsChild>
                <w:div w:id="1776319797">
                  <w:marLeft w:val="0"/>
                  <w:marRight w:val="0"/>
                  <w:marTop w:val="0"/>
                  <w:marBottom w:val="0"/>
                  <w:divBdr>
                    <w:top w:val="none" w:sz="0" w:space="0" w:color="auto"/>
                    <w:left w:val="none" w:sz="0" w:space="0" w:color="auto"/>
                    <w:bottom w:val="none" w:sz="0" w:space="0" w:color="auto"/>
                    <w:right w:val="none" w:sz="0" w:space="0" w:color="auto"/>
                  </w:divBdr>
                  <w:divsChild>
                    <w:div w:id="13397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6716">
          <w:marLeft w:val="0"/>
          <w:marRight w:val="0"/>
          <w:marTop w:val="0"/>
          <w:marBottom w:val="0"/>
          <w:divBdr>
            <w:top w:val="none" w:sz="0" w:space="0" w:color="auto"/>
            <w:left w:val="none" w:sz="0" w:space="0" w:color="auto"/>
            <w:bottom w:val="none" w:sz="0" w:space="0" w:color="auto"/>
            <w:right w:val="none" w:sz="0" w:space="0" w:color="auto"/>
          </w:divBdr>
        </w:div>
        <w:div w:id="115875829">
          <w:marLeft w:val="0"/>
          <w:marRight w:val="0"/>
          <w:marTop w:val="0"/>
          <w:marBottom w:val="0"/>
          <w:divBdr>
            <w:top w:val="none" w:sz="0" w:space="0" w:color="auto"/>
            <w:left w:val="none" w:sz="0" w:space="0" w:color="auto"/>
            <w:bottom w:val="none" w:sz="0" w:space="0" w:color="auto"/>
            <w:right w:val="none" w:sz="0" w:space="0" w:color="auto"/>
          </w:divBdr>
          <w:divsChild>
            <w:div w:id="202336190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300"/>
                  <w:marRight w:val="0"/>
                  <w:marTop w:val="60"/>
                  <w:marBottom w:val="0"/>
                  <w:divBdr>
                    <w:top w:val="none" w:sz="0" w:space="0" w:color="auto"/>
                    <w:left w:val="none" w:sz="0" w:space="0" w:color="auto"/>
                    <w:bottom w:val="none" w:sz="0" w:space="0" w:color="auto"/>
                    <w:right w:val="none" w:sz="0" w:space="0" w:color="auto"/>
                  </w:divBdr>
                </w:div>
              </w:divsChild>
            </w:div>
            <w:div w:id="634682994">
              <w:marLeft w:val="0"/>
              <w:marRight w:val="0"/>
              <w:marTop w:val="0"/>
              <w:marBottom w:val="0"/>
              <w:divBdr>
                <w:top w:val="none" w:sz="0" w:space="0" w:color="auto"/>
                <w:left w:val="none" w:sz="0" w:space="0" w:color="auto"/>
                <w:bottom w:val="none" w:sz="0" w:space="0" w:color="auto"/>
                <w:right w:val="none" w:sz="0" w:space="0" w:color="auto"/>
              </w:divBdr>
              <w:divsChild>
                <w:div w:id="2025208681">
                  <w:marLeft w:val="0"/>
                  <w:marRight w:val="0"/>
                  <w:marTop w:val="0"/>
                  <w:marBottom w:val="0"/>
                  <w:divBdr>
                    <w:top w:val="none" w:sz="0" w:space="0" w:color="auto"/>
                    <w:left w:val="none" w:sz="0" w:space="0" w:color="auto"/>
                    <w:bottom w:val="none" w:sz="0" w:space="0" w:color="auto"/>
                    <w:right w:val="none" w:sz="0" w:space="0" w:color="auto"/>
                  </w:divBdr>
                </w:div>
                <w:div w:id="1365208203">
                  <w:marLeft w:val="0"/>
                  <w:marRight w:val="0"/>
                  <w:marTop w:val="0"/>
                  <w:marBottom w:val="0"/>
                  <w:divBdr>
                    <w:top w:val="none" w:sz="0" w:space="0" w:color="auto"/>
                    <w:left w:val="none" w:sz="0" w:space="0" w:color="auto"/>
                    <w:bottom w:val="none" w:sz="0" w:space="0" w:color="auto"/>
                    <w:right w:val="none" w:sz="0" w:space="0" w:color="auto"/>
                  </w:divBdr>
                  <w:divsChild>
                    <w:div w:id="12245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5870">
      <w:bodyDiv w:val="1"/>
      <w:marLeft w:val="0"/>
      <w:marRight w:val="0"/>
      <w:marTop w:val="0"/>
      <w:marBottom w:val="0"/>
      <w:divBdr>
        <w:top w:val="none" w:sz="0" w:space="0" w:color="auto"/>
        <w:left w:val="none" w:sz="0" w:space="0" w:color="auto"/>
        <w:bottom w:val="none" w:sz="0" w:space="0" w:color="auto"/>
        <w:right w:val="none" w:sz="0" w:space="0" w:color="auto"/>
      </w:divBdr>
      <w:divsChild>
        <w:div w:id="2138067582">
          <w:marLeft w:val="0"/>
          <w:marRight w:val="0"/>
          <w:marTop w:val="0"/>
          <w:marBottom w:val="0"/>
          <w:divBdr>
            <w:top w:val="none" w:sz="0" w:space="0" w:color="auto"/>
            <w:left w:val="none" w:sz="0" w:space="0" w:color="auto"/>
            <w:bottom w:val="none" w:sz="0" w:space="0" w:color="auto"/>
            <w:right w:val="none" w:sz="0" w:space="0" w:color="auto"/>
          </w:divBdr>
          <w:divsChild>
            <w:div w:id="463819001">
              <w:marLeft w:val="0"/>
              <w:marRight w:val="0"/>
              <w:marTop w:val="0"/>
              <w:marBottom w:val="0"/>
              <w:divBdr>
                <w:top w:val="none" w:sz="0" w:space="0" w:color="auto"/>
                <w:left w:val="none" w:sz="0" w:space="0" w:color="auto"/>
                <w:bottom w:val="none" w:sz="0" w:space="0" w:color="auto"/>
                <w:right w:val="none" w:sz="0" w:space="0" w:color="auto"/>
              </w:divBdr>
              <w:divsChild>
                <w:div w:id="190000052">
                  <w:marLeft w:val="0"/>
                  <w:marRight w:val="0"/>
                  <w:marTop w:val="0"/>
                  <w:marBottom w:val="0"/>
                  <w:divBdr>
                    <w:top w:val="none" w:sz="0" w:space="0" w:color="auto"/>
                    <w:left w:val="none" w:sz="0" w:space="0" w:color="auto"/>
                    <w:bottom w:val="none" w:sz="0" w:space="0" w:color="auto"/>
                    <w:right w:val="none" w:sz="0" w:space="0" w:color="auto"/>
                  </w:divBdr>
                  <w:divsChild>
                    <w:div w:id="13260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4333">
          <w:marLeft w:val="0"/>
          <w:marRight w:val="0"/>
          <w:marTop w:val="0"/>
          <w:marBottom w:val="0"/>
          <w:divBdr>
            <w:top w:val="none" w:sz="0" w:space="0" w:color="auto"/>
            <w:left w:val="none" w:sz="0" w:space="0" w:color="auto"/>
            <w:bottom w:val="none" w:sz="0" w:space="0" w:color="auto"/>
            <w:right w:val="none" w:sz="0" w:space="0" w:color="auto"/>
          </w:divBdr>
        </w:div>
        <w:div w:id="1260680571">
          <w:marLeft w:val="0"/>
          <w:marRight w:val="0"/>
          <w:marTop w:val="0"/>
          <w:marBottom w:val="0"/>
          <w:divBdr>
            <w:top w:val="none" w:sz="0" w:space="0" w:color="auto"/>
            <w:left w:val="none" w:sz="0" w:space="0" w:color="auto"/>
            <w:bottom w:val="none" w:sz="0" w:space="0" w:color="auto"/>
            <w:right w:val="none" w:sz="0" w:space="0" w:color="auto"/>
          </w:divBdr>
          <w:divsChild>
            <w:div w:id="1178272675">
              <w:marLeft w:val="0"/>
              <w:marRight w:val="0"/>
              <w:marTop w:val="0"/>
              <w:marBottom w:val="0"/>
              <w:divBdr>
                <w:top w:val="none" w:sz="0" w:space="0" w:color="auto"/>
                <w:left w:val="none" w:sz="0" w:space="0" w:color="auto"/>
                <w:bottom w:val="none" w:sz="0" w:space="0" w:color="auto"/>
                <w:right w:val="none" w:sz="0" w:space="0" w:color="auto"/>
              </w:divBdr>
              <w:divsChild>
                <w:div w:id="709114355">
                  <w:marLeft w:val="-300"/>
                  <w:marRight w:val="0"/>
                  <w:marTop w:val="60"/>
                  <w:marBottom w:val="0"/>
                  <w:divBdr>
                    <w:top w:val="none" w:sz="0" w:space="0" w:color="auto"/>
                    <w:left w:val="none" w:sz="0" w:space="0" w:color="auto"/>
                    <w:bottom w:val="none" w:sz="0" w:space="0" w:color="auto"/>
                    <w:right w:val="none" w:sz="0" w:space="0" w:color="auto"/>
                  </w:divBdr>
                </w:div>
              </w:divsChild>
            </w:div>
            <w:div w:id="1185555500">
              <w:marLeft w:val="0"/>
              <w:marRight w:val="0"/>
              <w:marTop w:val="0"/>
              <w:marBottom w:val="0"/>
              <w:divBdr>
                <w:top w:val="none" w:sz="0" w:space="0" w:color="auto"/>
                <w:left w:val="none" w:sz="0" w:space="0" w:color="auto"/>
                <w:bottom w:val="none" w:sz="0" w:space="0" w:color="auto"/>
                <w:right w:val="none" w:sz="0" w:space="0" w:color="auto"/>
              </w:divBdr>
              <w:divsChild>
                <w:div w:id="73204312">
                  <w:marLeft w:val="0"/>
                  <w:marRight w:val="0"/>
                  <w:marTop w:val="0"/>
                  <w:marBottom w:val="0"/>
                  <w:divBdr>
                    <w:top w:val="none" w:sz="0" w:space="0" w:color="auto"/>
                    <w:left w:val="none" w:sz="0" w:space="0" w:color="auto"/>
                    <w:bottom w:val="none" w:sz="0" w:space="0" w:color="auto"/>
                    <w:right w:val="none" w:sz="0" w:space="0" w:color="auto"/>
                  </w:divBdr>
                </w:div>
                <w:div w:id="142082800">
                  <w:marLeft w:val="0"/>
                  <w:marRight w:val="0"/>
                  <w:marTop w:val="0"/>
                  <w:marBottom w:val="0"/>
                  <w:divBdr>
                    <w:top w:val="none" w:sz="0" w:space="0" w:color="auto"/>
                    <w:left w:val="none" w:sz="0" w:space="0" w:color="auto"/>
                    <w:bottom w:val="none" w:sz="0" w:space="0" w:color="auto"/>
                    <w:right w:val="none" w:sz="0" w:space="0" w:color="auto"/>
                  </w:divBdr>
                  <w:divsChild>
                    <w:div w:id="19161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5414">
      <w:bodyDiv w:val="1"/>
      <w:marLeft w:val="0"/>
      <w:marRight w:val="0"/>
      <w:marTop w:val="0"/>
      <w:marBottom w:val="0"/>
      <w:divBdr>
        <w:top w:val="none" w:sz="0" w:space="0" w:color="auto"/>
        <w:left w:val="none" w:sz="0" w:space="0" w:color="auto"/>
        <w:bottom w:val="none" w:sz="0" w:space="0" w:color="auto"/>
        <w:right w:val="none" w:sz="0" w:space="0" w:color="auto"/>
      </w:divBdr>
      <w:divsChild>
        <w:div w:id="339891843">
          <w:marLeft w:val="0"/>
          <w:marRight w:val="0"/>
          <w:marTop w:val="0"/>
          <w:marBottom w:val="0"/>
          <w:divBdr>
            <w:top w:val="none" w:sz="0" w:space="0" w:color="auto"/>
            <w:left w:val="none" w:sz="0" w:space="0" w:color="auto"/>
            <w:bottom w:val="none" w:sz="0" w:space="0" w:color="auto"/>
            <w:right w:val="none" w:sz="0" w:space="0" w:color="auto"/>
          </w:divBdr>
          <w:divsChild>
            <w:div w:id="615865334">
              <w:marLeft w:val="0"/>
              <w:marRight w:val="0"/>
              <w:marTop w:val="0"/>
              <w:marBottom w:val="0"/>
              <w:divBdr>
                <w:top w:val="none" w:sz="0" w:space="0" w:color="auto"/>
                <w:left w:val="none" w:sz="0" w:space="0" w:color="auto"/>
                <w:bottom w:val="none" w:sz="0" w:space="0" w:color="auto"/>
                <w:right w:val="none" w:sz="0" w:space="0" w:color="auto"/>
              </w:divBdr>
              <w:divsChild>
                <w:div w:id="2017733726">
                  <w:marLeft w:val="0"/>
                  <w:marRight w:val="0"/>
                  <w:marTop w:val="0"/>
                  <w:marBottom w:val="0"/>
                  <w:divBdr>
                    <w:top w:val="none" w:sz="0" w:space="0" w:color="auto"/>
                    <w:left w:val="none" w:sz="0" w:space="0" w:color="auto"/>
                    <w:bottom w:val="none" w:sz="0" w:space="0" w:color="auto"/>
                    <w:right w:val="none" w:sz="0" w:space="0" w:color="auto"/>
                  </w:divBdr>
                  <w:divsChild>
                    <w:div w:id="12950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041">
          <w:marLeft w:val="0"/>
          <w:marRight w:val="0"/>
          <w:marTop w:val="0"/>
          <w:marBottom w:val="0"/>
          <w:divBdr>
            <w:top w:val="none" w:sz="0" w:space="0" w:color="auto"/>
            <w:left w:val="none" w:sz="0" w:space="0" w:color="auto"/>
            <w:bottom w:val="none" w:sz="0" w:space="0" w:color="auto"/>
            <w:right w:val="none" w:sz="0" w:space="0" w:color="auto"/>
          </w:divBdr>
        </w:div>
        <w:div w:id="1804808540">
          <w:marLeft w:val="0"/>
          <w:marRight w:val="0"/>
          <w:marTop w:val="0"/>
          <w:marBottom w:val="0"/>
          <w:divBdr>
            <w:top w:val="none" w:sz="0" w:space="0" w:color="auto"/>
            <w:left w:val="none" w:sz="0" w:space="0" w:color="auto"/>
            <w:bottom w:val="none" w:sz="0" w:space="0" w:color="auto"/>
            <w:right w:val="none" w:sz="0" w:space="0" w:color="auto"/>
          </w:divBdr>
          <w:divsChild>
            <w:div w:id="2009094266">
              <w:marLeft w:val="0"/>
              <w:marRight w:val="0"/>
              <w:marTop w:val="0"/>
              <w:marBottom w:val="0"/>
              <w:divBdr>
                <w:top w:val="none" w:sz="0" w:space="0" w:color="auto"/>
                <w:left w:val="none" w:sz="0" w:space="0" w:color="auto"/>
                <w:bottom w:val="none" w:sz="0" w:space="0" w:color="auto"/>
                <w:right w:val="none" w:sz="0" w:space="0" w:color="auto"/>
              </w:divBdr>
              <w:divsChild>
                <w:div w:id="196309767">
                  <w:marLeft w:val="0"/>
                  <w:marRight w:val="0"/>
                  <w:marTop w:val="0"/>
                  <w:marBottom w:val="0"/>
                  <w:divBdr>
                    <w:top w:val="none" w:sz="0" w:space="0" w:color="auto"/>
                    <w:left w:val="none" w:sz="0" w:space="0" w:color="auto"/>
                    <w:bottom w:val="none" w:sz="0" w:space="0" w:color="auto"/>
                    <w:right w:val="none" w:sz="0" w:space="0" w:color="auto"/>
                  </w:divBdr>
                </w:div>
                <w:div w:id="497159222">
                  <w:marLeft w:val="0"/>
                  <w:marRight w:val="0"/>
                  <w:marTop w:val="0"/>
                  <w:marBottom w:val="0"/>
                  <w:divBdr>
                    <w:top w:val="none" w:sz="0" w:space="0" w:color="auto"/>
                    <w:left w:val="none" w:sz="0" w:space="0" w:color="auto"/>
                    <w:bottom w:val="none" w:sz="0" w:space="0" w:color="auto"/>
                    <w:right w:val="none" w:sz="0" w:space="0" w:color="auto"/>
                  </w:divBdr>
                  <w:divsChild>
                    <w:div w:id="1825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75238">
      <w:bodyDiv w:val="1"/>
      <w:marLeft w:val="0"/>
      <w:marRight w:val="0"/>
      <w:marTop w:val="0"/>
      <w:marBottom w:val="0"/>
      <w:divBdr>
        <w:top w:val="none" w:sz="0" w:space="0" w:color="auto"/>
        <w:left w:val="none" w:sz="0" w:space="0" w:color="auto"/>
        <w:bottom w:val="none" w:sz="0" w:space="0" w:color="auto"/>
        <w:right w:val="none" w:sz="0" w:space="0" w:color="auto"/>
      </w:divBdr>
      <w:divsChild>
        <w:div w:id="1384134352">
          <w:marLeft w:val="0"/>
          <w:marRight w:val="0"/>
          <w:marTop w:val="0"/>
          <w:marBottom w:val="0"/>
          <w:divBdr>
            <w:top w:val="none" w:sz="0" w:space="0" w:color="auto"/>
            <w:left w:val="none" w:sz="0" w:space="0" w:color="auto"/>
            <w:bottom w:val="none" w:sz="0" w:space="0" w:color="auto"/>
            <w:right w:val="none" w:sz="0" w:space="0" w:color="auto"/>
          </w:divBdr>
          <w:divsChild>
            <w:div w:id="20014663">
              <w:marLeft w:val="0"/>
              <w:marRight w:val="0"/>
              <w:marTop w:val="0"/>
              <w:marBottom w:val="0"/>
              <w:divBdr>
                <w:top w:val="none" w:sz="0" w:space="0" w:color="auto"/>
                <w:left w:val="none" w:sz="0" w:space="0" w:color="auto"/>
                <w:bottom w:val="none" w:sz="0" w:space="0" w:color="auto"/>
                <w:right w:val="none" w:sz="0" w:space="0" w:color="auto"/>
              </w:divBdr>
              <w:divsChild>
                <w:div w:id="952397121">
                  <w:marLeft w:val="0"/>
                  <w:marRight w:val="0"/>
                  <w:marTop w:val="0"/>
                  <w:marBottom w:val="0"/>
                  <w:divBdr>
                    <w:top w:val="none" w:sz="0" w:space="0" w:color="auto"/>
                    <w:left w:val="none" w:sz="0" w:space="0" w:color="auto"/>
                    <w:bottom w:val="none" w:sz="0" w:space="0" w:color="auto"/>
                    <w:right w:val="none" w:sz="0" w:space="0" w:color="auto"/>
                  </w:divBdr>
                  <w:divsChild>
                    <w:div w:id="21278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7844">
          <w:marLeft w:val="0"/>
          <w:marRight w:val="0"/>
          <w:marTop w:val="0"/>
          <w:marBottom w:val="0"/>
          <w:divBdr>
            <w:top w:val="none" w:sz="0" w:space="0" w:color="auto"/>
            <w:left w:val="none" w:sz="0" w:space="0" w:color="auto"/>
            <w:bottom w:val="none" w:sz="0" w:space="0" w:color="auto"/>
            <w:right w:val="none" w:sz="0" w:space="0" w:color="auto"/>
          </w:divBdr>
        </w:div>
        <w:div w:id="46807740">
          <w:marLeft w:val="0"/>
          <w:marRight w:val="0"/>
          <w:marTop w:val="0"/>
          <w:marBottom w:val="0"/>
          <w:divBdr>
            <w:top w:val="none" w:sz="0" w:space="0" w:color="auto"/>
            <w:left w:val="none" w:sz="0" w:space="0" w:color="auto"/>
            <w:bottom w:val="none" w:sz="0" w:space="0" w:color="auto"/>
            <w:right w:val="none" w:sz="0" w:space="0" w:color="auto"/>
          </w:divBdr>
          <w:divsChild>
            <w:div w:id="937638172">
              <w:marLeft w:val="0"/>
              <w:marRight w:val="0"/>
              <w:marTop w:val="0"/>
              <w:marBottom w:val="0"/>
              <w:divBdr>
                <w:top w:val="none" w:sz="0" w:space="0" w:color="auto"/>
                <w:left w:val="none" w:sz="0" w:space="0" w:color="auto"/>
                <w:bottom w:val="none" w:sz="0" w:space="0" w:color="auto"/>
                <w:right w:val="none" w:sz="0" w:space="0" w:color="auto"/>
              </w:divBdr>
              <w:divsChild>
                <w:div w:id="330446331">
                  <w:marLeft w:val="0"/>
                  <w:marRight w:val="0"/>
                  <w:marTop w:val="0"/>
                  <w:marBottom w:val="0"/>
                  <w:divBdr>
                    <w:top w:val="none" w:sz="0" w:space="0" w:color="auto"/>
                    <w:left w:val="none" w:sz="0" w:space="0" w:color="auto"/>
                    <w:bottom w:val="none" w:sz="0" w:space="0" w:color="auto"/>
                    <w:right w:val="none" w:sz="0" w:space="0" w:color="auto"/>
                  </w:divBdr>
                </w:div>
                <w:div w:id="826091954">
                  <w:marLeft w:val="0"/>
                  <w:marRight w:val="0"/>
                  <w:marTop w:val="0"/>
                  <w:marBottom w:val="0"/>
                  <w:divBdr>
                    <w:top w:val="none" w:sz="0" w:space="0" w:color="auto"/>
                    <w:left w:val="none" w:sz="0" w:space="0" w:color="auto"/>
                    <w:bottom w:val="none" w:sz="0" w:space="0" w:color="auto"/>
                    <w:right w:val="none" w:sz="0" w:space="0" w:color="auto"/>
                  </w:divBdr>
                  <w:divsChild>
                    <w:div w:id="19866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9214">
      <w:bodyDiv w:val="1"/>
      <w:marLeft w:val="0"/>
      <w:marRight w:val="0"/>
      <w:marTop w:val="0"/>
      <w:marBottom w:val="0"/>
      <w:divBdr>
        <w:top w:val="none" w:sz="0" w:space="0" w:color="auto"/>
        <w:left w:val="none" w:sz="0" w:space="0" w:color="auto"/>
        <w:bottom w:val="none" w:sz="0" w:space="0" w:color="auto"/>
        <w:right w:val="none" w:sz="0" w:space="0" w:color="auto"/>
      </w:divBdr>
      <w:divsChild>
        <w:div w:id="283731037">
          <w:marLeft w:val="0"/>
          <w:marRight w:val="0"/>
          <w:marTop w:val="0"/>
          <w:marBottom w:val="0"/>
          <w:divBdr>
            <w:top w:val="none" w:sz="0" w:space="0" w:color="auto"/>
            <w:left w:val="none" w:sz="0" w:space="0" w:color="auto"/>
            <w:bottom w:val="none" w:sz="0" w:space="0" w:color="auto"/>
            <w:right w:val="none" w:sz="0" w:space="0" w:color="auto"/>
          </w:divBdr>
          <w:divsChild>
            <w:div w:id="422534214">
              <w:marLeft w:val="0"/>
              <w:marRight w:val="0"/>
              <w:marTop w:val="0"/>
              <w:marBottom w:val="0"/>
              <w:divBdr>
                <w:top w:val="none" w:sz="0" w:space="0" w:color="auto"/>
                <w:left w:val="none" w:sz="0" w:space="0" w:color="auto"/>
                <w:bottom w:val="none" w:sz="0" w:space="0" w:color="auto"/>
                <w:right w:val="none" w:sz="0" w:space="0" w:color="auto"/>
              </w:divBdr>
              <w:divsChild>
                <w:div w:id="1919096921">
                  <w:marLeft w:val="0"/>
                  <w:marRight w:val="0"/>
                  <w:marTop w:val="0"/>
                  <w:marBottom w:val="0"/>
                  <w:divBdr>
                    <w:top w:val="none" w:sz="0" w:space="0" w:color="auto"/>
                    <w:left w:val="none" w:sz="0" w:space="0" w:color="auto"/>
                    <w:bottom w:val="none" w:sz="0" w:space="0" w:color="auto"/>
                    <w:right w:val="none" w:sz="0" w:space="0" w:color="auto"/>
                  </w:divBdr>
                  <w:divsChild>
                    <w:div w:id="2103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5039">
          <w:marLeft w:val="0"/>
          <w:marRight w:val="0"/>
          <w:marTop w:val="0"/>
          <w:marBottom w:val="0"/>
          <w:divBdr>
            <w:top w:val="none" w:sz="0" w:space="0" w:color="auto"/>
            <w:left w:val="none" w:sz="0" w:space="0" w:color="auto"/>
            <w:bottom w:val="none" w:sz="0" w:space="0" w:color="auto"/>
            <w:right w:val="none" w:sz="0" w:space="0" w:color="auto"/>
          </w:divBdr>
        </w:div>
        <w:div w:id="511068114">
          <w:marLeft w:val="0"/>
          <w:marRight w:val="0"/>
          <w:marTop w:val="0"/>
          <w:marBottom w:val="0"/>
          <w:divBdr>
            <w:top w:val="none" w:sz="0" w:space="0" w:color="auto"/>
            <w:left w:val="none" w:sz="0" w:space="0" w:color="auto"/>
            <w:bottom w:val="none" w:sz="0" w:space="0" w:color="auto"/>
            <w:right w:val="none" w:sz="0" w:space="0" w:color="auto"/>
          </w:divBdr>
          <w:divsChild>
            <w:div w:id="1731921770">
              <w:marLeft w:val="0"/>
              <w:marRight w:val="0"/>
              <w:marTop w:val="0"/>
              <w:marBottom w:val="0"/>
              <w:divBdr>
                <w:top w:val="none" w:sz="0" w:space="0" w:color="auto"/>
                <w:left w:val="none" w:sz="0" w:space="0" w:color="auto"/>
                <w:bottom w:val="none" w:sz="0" w:space="0" w:color="auto"/>
                <w:right w:val="none" w:sz="0" w:space="0" w:color="auto"/>
              </w:divBdr>
              <w:divsChild>
                <w:div w:id="614943235">
                  <w:marLeft w:val="-300"/>
                  <w:marRight w:val="0"/>
                  <w:marTop w:val="60"/>
                  <w:marBottom w:val="0"/>
                  <w:divBdr>
                    <w:top w:val="none" w:sz="0" w:space="0" w:color="auto"/>
                    <w:left w:val="none" w:sz="0" w:space="0" w:color="auto"/>
                    <w:bottom w:val="none" w:sz="0" w:space="0" w:color="auto"/>
                    <w:right w:val="none" w:sz="0" w:space="0" w:color="auto"/>
                  </w:divBdr>
                </w:div>
              </w:divsChild>
            </w:div>
            <w:div w:id="1986624978">
              <w:marLeft w:val="0"/>
              <w:marRight w:val="0"/>
              <w:marTop w:val="0"/>
              <w:marBottom w:val="0"/>
              <w:divBdr>
                <w:top w:val="none" w:sz="0" w:space="0" w:color="auto"/>
                <w:left w:val="none" w:sz="0" w:space="0" w:color="auto"/>
                <w:bottom w:val="none" w:sz="0" w:space="0" w:color="auto"/>
                <w:right w:val="none" w:sz="0" w:space="0" w:color="auto"/>
              </w:divBdr>
              <w:divsChild>
                <w:div w:id="1951081775">
                  <w:marLeft w:val="0"/>
                  <w:marRight w:val="0"/>
                  <w:marTop w:val="0"/>
                  <w:marBottom w:val="0"/>
                  <w:divBdr>
                    <w:top w:val="none" w:sz="0" w:space="0" w:color="auto"/>
                    <w:left w:val="none" w:sz="0" w:space="0" w:color="auto"/>
                    <w:bottom w:val="none" w:sz="0" w:space="0" w:color="auto"/>
                    <w:right w:val="none" w:sz="0" w:space="0" w:color="auto"/>
                  </w:divBdr>
                </w:div>
                <w:div w:id="947349529">
                  <w:marLeft w:val="0"/>
                  <w:marRight w:val="0"/>
                  <w:marTop w:val="0"/>
                  <w:marBottom w:val="0"/>
                  <w:divBdr>
                    <w:top w:val="none" w:sz="0" w:space="0" w:color="auto"/>
                    <w:left w:val="none" w:sz="0" w:space="0" w:color="auto"/>
                    <w:bottom w:val="none" w:sz="0" w:space="0" w:color="auto"/>
                    <w:right w:val="none" w:sz="0" w:space="0" w:color="auto"/>
                  </w:divBdr>
                  <w:divsChild>
                    <w:div w:id="218782548">
                      <w:marLeft w:val="0"/>
                      <w:marRight w:val="0"/>
                      <w:marTop w:val="0"/>
                      <w:marBottom w:val="0"/>
                      <w:divBdr>
                        <w:top w:val="none" w:sz="0" w:space="0" w:color="auto"/>
                        <w:left w:val="none" w:sz="0" w:space="0" w:color="auto"/>
                        <w:bottom w:val="none" w:sz="0" w:space="0" w:color="auto"/>
                        <w:right w:val="none" w:sz="0" w:space="0" w:color="auto"/>
                      </w:divBdr>
                    </w:div>
                  </w:divsChild>
                </w:div>
                <w:div w:id="988167481">
                  <w:marLeft w:val="0"/>
                  <w:marRight w:val="0"/>
                  <w:marTop w:val="0"/>
                  <w:marBottom w:val="0"/>
                  <w:divBdr>
                    <w:top w:val="none" w:sz="0" w:space="0" w:color="auto"/>
                    <w:left w:val="none" w:sz="0" w:space="0" w:color="auto"/>
                    <w:bottom w:val="none" w:sz="0" w:space="0" w:color="auto"/>
                    <w:right w:val="none" w:sz="0" w:space="0" w:color="auto"/>
                  </w:divBdr>
                </w:div>
                <w:div w:id="1276211214">
                  <w:marLeft w:val="0"/>
                  <w:marRight w:val="0"/>
                  <w:marTop w:val="0"/>
                  <w:marBottom w:val="0"/>
                  <w:divBdr>
                    <w:top w:val="none" w:sz="0" w:space="0" w:color="auto"/>
                    <w:left w:val="none" w:sz="0" w:space="0" w:color="auto"/>
                    <w:bottom w:val="none" w:sz="0" w:space="0" w:color="auto"/>
                    <w:right w:val="none" w:sz="0" w:space="0" w:color="auto"/>
                  </w:divBdr>
                  <w:divsChild>
                    <w:div w:id="14467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sChild>
        <w:div w:id="1131479167">
          <w:marLeft w:val="0"/>
          <w:marRight w:val="0"/>
          <w:marTop w:val="0"/>
          <w:marBottom w:val="0"/>
          <w:divBdr>
            <w:top w:val="none" w:sz="0" w:space="0" w:color="auto"/>
            <w:left w:val="none" w:sz="0" w:space="0" w:color="auto"/>
            <w:bottom w:val="none" w:sz="0" w:space="0" w:color="auto"/>
            <w:right w:val="none" w:sz="0" w:space="0" w:color="auto"/>
          </w:divBdr>
          <w:divsChild>
            <w:div w:id="1223634886">
              <w:marLeft w:val="0"/>
              <w:marRight w:val="0"/>
              <w:marTop w:val="0"/>
              <w:marBottom w:val="0"/>
              <w:divBdr>
                <w:top w:val="none" w:sz="0" w:space="0" w:color="auto"/>
                <w:left w:val="none" w:sz="0" w:space="0" w:color="auto"/>
                <w:bottom w:val="none" w:sz="0" w:space="0" w:color="auto"/>
                <w:right w:val="none" w:sz="0" w:space="0" w:color="auto"/>
              </w:divBdr>
              <w:divsChild>
                <w:div w:id="1464420656">
                  <w:marLeft w:val="0"/>
                  <w:marRight w:val="0"/>
                  <w:marTop w:val="0"/>
                  <w:marBottom w:val="0"/>
                  <w:divBdr>
                    <w:top w:val="none" w:sz="0" w:space="0" w:color="auto"/>
                    <w:left w:val="none" w:sz="0" w:space="0" w:color="auto"/>
                    <w:bottom w:val="none" w:sz="0" w:space="0" w:color="auto"/>
                    <w:right w:val="none" w:sz="0" w:space="0" w:color="auto"/>
                  </w:divBdr>
                  <w:divsChild>
                    <w:div w:id="15992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150">
          <w:marLeft w:val="0"/>
          <w:marRight w:val="0"/>
          <w:marTop w:val="0"/>
          <w:marBottom w:val="0"/>
          <w:divBdr>
            <w:top w:val="none" w:sz="0" w:space="0" w:color="auto"/>
            <w:left w:val="none" w:sz="0" w:space="0" w:color="auto"/>
            <w:bottom w:val="none" w:sz="0" w:space="0" w:color="auto"/>
            <w:right w:val="none" w:sz="0" w:space="0" w:color="auto"/>
          </w:divBdr>
        </w:div>
        <w:div w:id="24061146">
          <w:marLeft w:val="0"/>
          <w:marRight w:val="0"/>
          <w:marTop w:val="0"/>
          <w:marBottom w:val="0"/>
          <w:divBdr>
            <w:top w:val="none" w:sz="0" w:space="0" w:color="auto"/>
            <w:left w:val="none" w:sz="0" w:space="0" w:color="auto"/>
            <w:bottom w:val="none" w:sz="0" w:space="0" w:color="auto"/>
            <w:right w:val="none" w:sz="0" w:space="0" w:color="auto"/>
          </w:divBdr>
          <w:divsChild>
            <w:div w:id="1815634172">
              <w:marLeft w:val="0"/>
              <w:marRight w:val="0"/>
              <w:marTop w:val="0"/>
              <w:marBottom w:val="0"/>
              <w:divBdr>
                <w:top w:val="none" w:sz="0" w:space="0" w:color="auto"/>
                <w:left w:val="none" w:sz="0" w:space="0" w:color="auto"/>
                <w:bottom w:val="none" w:sz="0" w:space="0" w:color="auto"/>
                <w:right w:val="none" w:sz="0" w:space="0" w:color="auto"/>
              </w:divBdr>
              <w:divsChild>
                <w:div w:id="1439447013">
                  <w:marLeft w:val="-300"/>
                  <w:marRight w:val="0"/>
                  <w:marTop w:val="60"/>
                  <w:marBottom w:val="0"/>
                  <w:divBdr>
                    <w:top w:val="none" w:sz="0" w:space="0" w:color="auto"/>
                    <w:left w:val="none" w:sz="0" w:space="0" w:color="auto"/>
                    <w:bottom w:val="none" w:sz="0" w:space="0" w:color="auto"/>
                    <w:right w:val="none" w:sz="0" w:space="0" w:color="auto"/>
                  </w:divBdr>
                </w:div>
              </w:divsChild>
            </w:div>
            <w:div w:id="602999435">
              <w:marLeft w:val="0"/>
              <w:marRight w:val="0"/>
              <w:marTop w:val="0"/>
              <w:marBottom w:val="0"/>
              <w:divBdr>
                <w:top w:val="none" w:sz="0" w:space="0" w:color="auto"/>
                <w:left w:val="none" w:sz="0" w:space="0" w:color="auto"/>
                <w:bottom w:val="none" w:sz="0" w:space="0" w:color="auto"/>
                <w:right w:val="none" w:sz="0" w:space="0" w:color="auto"/>
              </w:divBdr>
              <w:divsChild>
                <w:div w:id="1213419977">
                  <w:marLeft w:val="0"/>
                  <w:marRight w:val="0"/>
                  <w:marTop w:val="0"/>
                  <w:marBottom w:val="0"/>
                  <w:divBdr>
                    <w:top w:val="none" w:sz="0" w:space="0" w:color="auto"/>
                    <w:left w:val="none" w:sz="0" w:space="0" w:color="auto"/>
                    <w:bottom w:val="none" w:sz="0" w:space="0" w:color="auto"/>
                    <w:right w:val="none" w:sz="0" w:space="0" w:color="auto"/>
                  </w:divBdr>
                </w:div>
                <w:div w:id="2049522162">
                  <w:marLeft w:val="0"/>
                  <w:marRight w:val="0"/>
                  <w:marTop w:val="0"/>
                  <w:marBottom w:val="0"/>
                  <w:divBdr>
                    <w:top w:val="none" w:sz="0" w:space="0" w:color="auto"/>
                    <w:left w:val="none" w:sz="0" w:space="0" w:color="auto"/>
                    <w:bottom w:val="none" w:sz="0" w:space="0" w:color="auto"/>
                    <w:right w:val="none" w:sz="0" w:space="0" w:color="auto"/>
                  </w:divBdr>
                  <w:divsChild>
                    <w:div w:id="9828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6127">
      <w:bodyDiv w:val="1"/>
      <w:marLeft w:val="0"/>
      <w:marRight w:val="0"/>
      <w:marTop w:val="0"/>
      <w:marBottom w:val="0"/>
      <w:divBdr>
        <w:top w:val="none" w:sz="0" w:space="0" w:color="auto"/>
        <w:left w:val="none" w:sz="0" w:space="0" w:color="auto"/>
        <w:bottom w:val="none" w:sz="0" w:space="0" w:color="auto"/>
        <w:right w:val="none" w:sz="0" w:space="0" w:color="auto"/>
      </w:divBdr>
      <w:divsChild>
        <w:div w:id="432867584">
          <w:marLeft w:val="0"/>
          <w:marRight w:val="0"/>
          <w:marTop w:val="0"/>
          <w:marBottom w:val="0"/>
          <w:divBdr>
            <w:top w:val="none" w:sz="0" w:space="0" w:color="auto"/>
            <w:left w:val="none" w:sz="0" w:space="0" w:color="auto"/>
            <w:bottom w:val="none" w:sz="0" w:space="0" w:color="auto"/>
            <w:right w:val="none" w:sz="0" w:space="0" w:color="auto"/>
          </w:divBdr>
          <w:divsChild>
            <w:div w:id="640503447">
              <w:marLeft w:val="0"/>
              <w:marRight w:val="0"/>
              <w:marTop w:val="0"/>
              <w:marBottom w:val="0"/>
              <w:divBdr>
                <w:top w:val="none" w:sz="0" w:space="0" w:color="auto"/>
                <w:left w:val="none" w:sz="0" w:space="0" w:color="auto"/>
                <w:bottom w:val="none" w:sz="0" w:space="0" w:color="auto"/>
                <w:right w:val="none" w:sz="0" w:space="0" w:color="auto"/>
              </w:divBdr>
              <w:divsChild>
                <w:div w:id="1410494983">
                  <w:marLeft w:val="0"/>
                  <w:marRight w:val="0"/>
                  <w:marTop w:val="0"/>
                  <w:marBottom w:val="0"/>
                  <w:divBdr>
                    <w:top w:val="none" w:sz="0" w:space="0" w:color="auto"/>
                    <w:left w:val="none" w:sz="0" w:space="0" w:color="auto"/>
                    <w:bottom w:val="none" w:sz="0" w:space="0" w:color="auto"/>
                    <w:right w:val="none" w:sz="0" w:space="0" w:color="auto"/>
                  </w:divBdr>
                  <w:divsChild>
                    <w:div w:id="2617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8891">
          <w:marLeft w:val="0"/>
          <w:marRight w:val="0"/>
          <w:marTop w:val="0"/>
          <w:marBottom w:val="0"/>
          <w:divBdr>
            <w:top w:val="none" w:sz="0" w:space="0" w:color="auto"/>
            <w:left w:val="none" w:sz="0" w:space="0" w:color="auto"/>
            <w:bottom w:val="none" w:sz="0" w:space="0" w:color="auto"/>
            <w:right w:val="none" w:sz="0" w:space="0" w:color="auto"/>
          </w:divBdr>
        </w:div>
        <w:div w:id="848374506">
          <w:marLeft w:val="0"/>
          <w:marRight w:val="0"/>
          <w:marTop w:val="0"/>
          <w:marBottom w:val="0"/>
          <w:divBdr>
            <w:top w:val="none" w:sz="0" w:space="0" w:color="auto"/>
            <w:left w:val="none" w:sz="0" w:space="0" w:color="auto"/>
            <w:bottom w:val="none" w:sz="0" w:space="0" w:color="auto"/>
            <w:right w:val="none" w:sz="0" w:space="0" w:color="auto"/>
          </w:divBdr>
          <w:divsChild>
            <w:div w:id="266811023">
              <w:marLeft w:val="0"/>
              <w:marRight w:val="0"/>
              <w:marTop w:val="0"/>
              <w:marBottom w:val="0"/>
              <w:divBdr>
                <w:top w:val="none" w:sz="0" w:space="0" w:color="auto"/>
                <w:left w:val="none" w:sz="0" w:space="0" w:color="auto"/>
                <w:bottom w:val="none" w:sz="0" w:space="0" w:color="auto"/>
                <w:right w:val="none" w:sz="0" w:space="0" w:color="auto"/>
              </w:divBdr>
              <w:divsChild>
                <w:div w:id="498890737">
                  <w:marLeft w:val="-300"/>
                  <w:marRight w:val="0"/>
                  <w:marTop w:val="60"/>
                  <w:marBottom w:val="0"/>
                  <w:divBdr>
                    <w:top w:val="none" w:sz="0" w:space="0" w:color="auto"/>
                    <w:left w:val="none" w:sz="0" w:space="0" w:color="auto"/>
                    <w:bottom w:val="none" w:sz="0" w:space="0" w:color="auto"/>
                    <w:right w:val="none" w:sz="0" w:space="0" w:color="auto"/>
                  </w:divBdr>
                </w:div>
              </w:divsChild>
            </w:div>
            <w:div w:id="438453738">
              <w:marLeft w:val="0"/>
              <w:marRight w:val="0"/>
              <w:marTop w:val="0"/>
              <w:marBottom w:val="0"/>
              <w:divBdr>
                <w:top w:val="none" w:sz="0" w:space="0" w:color="auto"/>
                <w:left w:val="none" w:sz="0" w:space="0" w:color="auto"/>
                <w:bottom w:val="none" w:sz="0" w:space="0" w:color="auto"/>
                <w:right w:val="none" w:sz="0" w:space="0" w:color="auto"/>
              </w:divBdr>
              <w:divsChild>
                <w:div w:id="686905267">
                  <w:marLeft w:val="0"/>
                  <w:marRight w:val="0"/>
                  <w:marTop w:val="0"/>
                  <w:marBottom w:val="0"/>
                  <w:divBdr>
                    <w:top w:val="none" w:sz="0" w:space="0" w:color="auto"/>
                    <w:left w:val="none" w:sz="0" w:space="0" w:color="auto"/>
                    <w:bottom w:val="none" w:sz="0" w:space="0" w:color="auto"/>
                    <w:right w:val="none" w:sz="0" w:space="0" w:color="auto"/>
                  </w:divBdr>
                </w:div>
                <w:div w:id="646588697">
                  <w:marLeft w:val="0"/>
                  <w:marRight w:val="0"/>
                  <w:marTop w:val="0"/>
                  <w:marBottom w:val="0"/>
                  <w:divBdr>
                    <w:top w:val="none" w:sz="0" w:space="0" w:color="auto"/>
                    <w:left w:val="none" w:sz="0" w:space="0" w:color="auto"/>
                    <w:bottom w:val="none" w:sz="0" w:space="0" w:color="auto"/>
                    <w:right w:val="none" w:sz="0" w:space="0" w:color="auto"/>
                  </w:divBdr>
                  <w:divsChild>
                    <w:div w:id="557088371">
                      <w:marLeft w:val="0"/>
                      <w:marRight w:val="0"/>
                      <w:marTop w:val="0"/>
                      <w:marBottom w:val="0"/>
                      <w:divBdr>
                        <w:top w:val="none" w:sz="0" w:space="0" w:color="auto"/>
                        <w:left w:val="none" w:sz="0" w:space="0" w:color="auto"/>
                        <w:bottom w:val="none" w:sz="0" w:space="0" w:color="auto"/>
                        <w:right w:val="none" w:sz="0" w:space="0" w:color="auto"/>
                      </w:divBdr>
                    </w:div>
                  </w:divsChild>
                </w:div>
                <w:div w:id="645743468">
                  <w:marLeft w:val="0"/>
                  <w:marRight w:val="0"/>
                  <w:marTop w:val="0"/>
                  <w:marBottom w:val="0"/>
                  <w:divBdr>
                    <w:top w:val="none" w:sz="0" w:space="0" w:color="auto"/>
                    <w:left w:val="none" w:sz="0" w:space="0" w:color="auto"/>
                    <w:bottom w:val="none" w:sz="0" w:space="0" w:color="auto"/>
                    <w:right w:val="none" w:sz="0" w:space="0" w:color="auto"/>
                  </w:divBdr>
                </w:div>
                <w:div w:id="259262762">
                  <w:marLeft w:val="0"/>
                  <w:marRight w:val="0"/>
                  <w:marTop w:val="0"/>
                  <w:marBottom w:val="0"/>
                  <w:divBdr>
                    <w:top w:val="none" w:sz="0" w:space="0" w:color="auto"/>
                    <w:left w:val="none" w:sz="0" w:space="0" w:color="auto"/>
                    <w:bottom w:val="none" w:sz="0" w:space="0" w:color="auto"/>
                    <w:right w:val="none" w:sz="0" w:space="0" w:color="auto"/>
                  </w:divBdr>
                  <w:divsChild>
                    <w:div w:id="3327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9460">
      <w:bodyDiv w:val="1"/>
      <w:marLeft w:val="0"/>
      <w:marRight w:val="0"/>
      <w:marTop w:val="0"/>
      <w:marBottom w:val="0"/>
      <w:divBdr>
        <w:top w:val="none" w:sz="0" w:space="0" w:color="auto"/>
        <w:left w:val="none" w:sz="0" w:space="0" w:color="auto"/>
        <w:bottom w:val="none" w:sz="0" w:space="0" w:color="auto"/>
        <w:right w:val="none" w:sz="0" w:space="0" w:color="auto"/>
      </w:divBdr>
      <w:divsChild>
        <w:div w:id="581371736">
          <w:marLeft w:val="0"/>
          <w:marRight w:val="0"/>
          <w:marTop w:val="0"/>
          <w:marBottom w:val="0"/>
          <w:divBdr>
            <w:top w:val="none" w:sz="0" w:space="0" w:color="auto"/>
            <w:left w:val="none" w:sz="0" w:space="0" w:color="auto"/>
            <w:bottom w:val="none" w:sz="0" w:space="0" w:color="auto"/>
            <w:right w:val="none" w:sz="0" w:space="0" w:color="auto"/>
          </w:divBdr>
          <w:divsChild>
            <w:div w:id="1501772304">
              <w:marLeft w:val="0"/>
              <w:marRight w:val="0"/>
              <w:marTop w:val="0"/>
              <w:marBottom w:val="0"/>
              <w:divBdr>
                <w:top w:val="none" w:sz="0" w:space="0" w:color="auto"/>
                <w:left w:val="none" w:sz="0" w:space="0" w:color="auto"/>
                <w:bottom w:val="none" w:sz="0" w:space="0" w:color="auto"/>
                <w:right w:val="none" w:sz="0" w:space="0" w:color="auto"/>
              </w:divBdr>
              <w:divsChild>
                <w:div w:id="2083288338">
                  <w:marLeft w:val="0"/>
                  <w:marRight w:val="0"/>
                  <w:marTop w:val="0"/>
                  <w:marBottom w:val="0"/>
                  <w:divBdr>
                    <w:top w:val="none" w:sz="0" w:space="0" w:color="auto"/>
                    <w:left w:val="none" w:sz="0" w:space="0" w:color="auto"/>
                    <w:bottom w:val="none" w:sz="0" w:space="0" w:color="auto"/>
                    <w:right w:val="none" w:sz="0" w:space="0" w:color="auto"/>
                  </w:divBdr>
                  <w:divsChild>
                    <w:div w:id="14742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64231">
          <w:marLeft w:val="0"/>
          <w:marRight w:val="0"/>
          <w:marTop w:val="0"/>
          <w:marBottom w:val="0"/>
          <w:divBdr>
            <w:top w:val="none" w:sz="0" w:space="0" w:color="auto"/>
            <w:left w:val="none" w:sz="0" w:space="0" w:color="auto"/>
            <w:bottom w:val="none" w:sz="0" w:space="0" w:color="auto"/>
            <w:right w:val="none" w:sz="0" w:space="0" w:color="auto"/>
          </w:divBdr>
        </w:div>
        <w:div w:id="236792301">
          <w:marLeft w:val="0"/>
          <w:marRight w:val="0"/>
          <w:marTop w:val="0"/>
          <w:marBottom w:val="0"/>
          <w:divBdr>
            <w:top w:val="none" w:sz="0" w:space="0" w:color="auto"/>
            <w:left w:val="none" w:sz="0" w:space="0" w:color="auto"/>
            <w:bottom w:val="none" w:sz="0" w:space="0" w:color="auto"/>
            <w:right w:val="none" w:sz="0" w:space="0" w:color="auto"/>
          </w:divBdr>
          <w:divsChild>
            <w:div w:id="713701006">
              <w:marLeft w:val="0"/>
              <w:marRight w:val="0"/>
              <w:marTop w:val="0"/>
              <w:marBottom w:val="0"/>
              <w:divBdr>
                <w:top w:val="none" w:sz="0" w:space="0" w:color="auto"/>
                <w:left w:val="none" w:sz="0" w:space="0" w:color="auto"/>
                <w:bottom w:val="none" w:sz="0" w:space="0" w:color="auto"/>
                <w:right w:val="none" w:sz="0" w:space="0" w:color="auto"/>
              </w:divBdr>
              <w:divsChild>
                <w:div w:id="39523911">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3182232">
      <w:bodyDiv w:val="1"/>
      <w:marLeft w:val="0"/>
      <w:marRight w:val="0"/>
      <w:marTop w:val="0"/>
      <w:marBottom w:val="0"/>
      <w:divBdr>
        <w:top w:val="none" w:sz="0" w:space="0" w:color="auto"/>
        <w:left w:val="none" w:sz="0" w:space="0" w:color="auto"/>
        <w:bottom w:val="none" w:sz="0" w:space="0" w:color="auto"/>
        <w:right w:val="none" w:sz="0" w:space="0" w:color="auto"/>
      </w:divBdr>
      <w:divsChild>
        <w:div w:id="1560169113">
          <w:marLeft w:val="0"/>
          <w:marRight w:val="0"/>
          <w:marTop w:val="0"/>
          <w:marBottom w:val="0"/>
          <w:divBdr>
            <w:top w:val="none" w:sz="0" w:space="0" w:color="auto"/>
            <w:left w:val="none" w:sz="0" w:space="0" w:color="auto"/>
            <w:bottom w:val="none" w:sz="0" w:space="0" w:color="auto"/>
            <w:right w:val="none" w:sz="0" w:space="0" w:color="auto"/>
          </w:divBdr>
          <w:divsChild>
            <w:div w:id="1669677283">
              <w:marLeft w:val="0"/>
              <w:marRight w:val="0"/>
              <w:marTop w:val="0"/>
              <w:marBottom w:val="0"/>
              <w:divBdr>
                <w:top w:val="none" w:sz="0" w:space="0" w:color="auto"/>
                <w:left w:val="none" w:sz="0" w:space="0" w:color="auto"/>
                <w:bottom w:val="none" w:sz="0" w:space="0" w:color="auto"/>
                <w:right w:val="none" w:sz="0" w:space="0" w:color="auto"/>
              </w:divBdr>
              <w:divsChild>
                <w:div w:id="490945289">
                  <w:marLeft w:val="0"/>
                  <w:marRight w:val="0"/>
                  <w:marTop w:val="0"/>
                  <w:marBottom w:val="0"/>
                  <w:divBdr>
                    <w:top w:val="none" w:sz="0" w:space="0" w:color="auto"/>
                    <w:left w:val="none" w:sz="0" w:space="0" w:color="auto"/>
                    <w:bottom w:val="none" w:sz="0" w:space="0" w:color="auto"/>
                    <w:right w:val="none" w:sz="0" w:space="0" w:color="auto"/>
                  </w:divBdr>
                  <w:divsChild>
                    <w:div w:id="7814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7097">
          <w:marLeft w:val="0"/>
          <w:marRight w:val="0"/>
          <w:marTop w:val="0"/>
          <w:marBottom w:val="0"/>
          <w:divBdr>
            <w:top w:val="none" w:sz="0" w:space="0" w:color="auto"/>
            <w:left w:val="none" w:sz="0" w:space="0" w:color="auto"/>
            <w:bottom w:val="none" w:sz="0" w:space="0" w:color="auto"/>
            <w:right w:val="none" w:sz="0" w:space="0" w:color="auto"/>
          </w:divBdr>
        </w:div>
        <w:div w:id="1602689556">
          <w:marLeft w:val="0"/>
          <w:marRight w:val="0"/>
          <w:marTop w:val="0"/>
          <w:marBottom w:val="0"/>
          <w:divBdr>
            <w:top w:val="none" w:sz="0" w:space="0" w:color="auto"/>
            <w:left w:val="none" w:sz="0" w:space="0" w:color="auto"/>
            <w:bottom w:val="none" w:sz="0" w:space="0" w:color="auto"/>
            <w:right w:val="none" w:sz="0" w:space="0" w:color="auto"/>
          </w:divBdr>
          <w:divsChild>
            <w:div w:id="708652310">
              <w:marLeft w:val="0"/>
              <w:marRight w:val="0"/>
              <w:marTop w:val="0"/>
              <w:marBottom w:val="0"/>
              <w:divBdr>
                <w:top w:val="none" w:sz="0" w:space="0" w:color="auto"/>
                <w:left w:val="none" w:sz="0" w:space="0" w:color="auto"/>
                <w:bottom w:val="none" w:sz="0" w:space="0" w:color="auto"/>
                <w:right w:val="none" w:sz="0" w:space="0" w:color="auto"/>
              </w:divBdr>
              <w:divsChild>
                <w:div w:id="439032214">
                  <w:marLeft w:val="-300"/>
                  <w:marRight w:val="0"/>
                  <w:marTop w:val="60"/>
                  <w:marBottom w:val="0"/>
                  <w:divBdr>
                    <w:top w:val="none" w:sz="0" w:space="0" w:color="auto"/>
                    <w:left w:val="none" w:sz="0" w:space="0" w:color="auto"/>
                    <w:bottom w:val="none" w:sz="0" w:space="0" w:color="auto"/>
                    <w:right w:val="none" w:sz="0" w:space="0" w:color="auto"/>
                  </w:divBdr>
                </w:div>
              </w:divsChild>
            </w:div>
            <w:div w:id="1286503625">
              <w:marLeft w:val="0"/>
              <w:marRight w:val="0"/>
              <w:marTop w:val="0"/>
              <w:marBottom w:val="0"/>
              <w:divBdr>
                <w:top w:val="none" w:sz="0" w:space="0" w:color="auto"/>
                <w:left w:val="none" w:sz="0" w:space="0" w:color="auto"/>
                <w:bottom w:val="none" w:sz="0" w:space="0" w:color="auto"/>
                <w:right w:val="none" w:sz="0" w:space="0" w:color="auto"/>
              </w:divBdr>
              <w:divsChild>
                <w:div w:id="1085103653">
                  <w:marLeft w:val="0"/>
                  <w:marRight w:val="0"/>
                  <w:marTop w:val="0"/>
                  <w:marBottom w:val="0"/>
                  <w:divBdr>
                    <w:top w:val="none" w:sz="0" w:space="0" w:color="auto"/>
                    <w:left w:val="none" w:sz="0" w:space="0" w:color="auto"/>
                    <w:bottom w:val="none" w:sz="0" w:space="0" w:color="auto"/>
                    <w:right w:val="none" w:sz="0" w:space="0" w:color="auto"/>
                  </w:divBdr>
                </w:div>
                <w:div w:id="1607348583">
                  <w:marLeft w:val="0"/>
                  <w:marRight w:val="0"/>
                  <w:marTop w:val="0"/>
                  <w:marBottom w:val="0"/>
                  <w:divBdr>
                    <w:top w:val="none" w:sz="0" w:space="0" w:color="auto"/>
                    <w:left w:val="none" w:sz="0" w:space="0" w:color="auto"/>
                    <w:bottom w:val="none" w:sz="0" w:space="0" w:color="auto"/>
                    <w:right w:val="none" w:sz="0" w:space="0" w:color="auto"/>
                  </w:divBdr>
                  <w:divsChild>
                    <w:div w:id="1605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bw.juris.de/cgi-bin/laender_rechtsprechung/document.py?Gericht=bw&amp;nr=316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n@drgaup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A9E3-E0DE-4BA0-8D48-94BAC7F7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9090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Michael Henn</cp:lastModifiedBy>
  <cp:revision>4</cp:revision>
  <dcterms:created xsi:type="dcterms:W3CDTF">2020-07-31T15:35:00Z</dcterms:created>
  <dcterms:modified xsi:type="dcterms:W3CDTF">2020-07-31T16:24:00Z</dcterms:modified>
</cp:coreProperties>
</file>