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7D" w:rsidRPr="004D046F" w:rsidRDefault="00E1747D" w:rsidP="00E1747D">
      <w:pPr>
        <w:tabs>
          <w:tab w:val="center" w:pos="4536"/>
          <w:tab w:val="right" w:pos="9072"/>
        </w:tabs>
        <w:jc w:val="right"/>
        <w:rPr>
          <w:rFonts w:ascii="Arial" w:hAnsi="Arial" w:cs="Arial"/>
        </w:rPr>
      </w:pPr>
      <w:r w:rsidRPr="004D046F">
        <w:rPr>
          <w:rFonts w:ascii="Arial" w:hAnsi="Arial" w:cs="Arial"/>
          <w:b/>
          <w:bCs/>
          <w:sz w:val="40"/>
          <w:szCs w:val="40"/>
        </w:rPr>
        <w:t>DASV</w:t>
      </w:r>
    </w:p>
    <w:p w:rsidR="00E1747D" w:rsidRPr="004D046F" w:rsidRDefault="00E1747D" w:rsidP="00E1747D">
      <w:pPr>
        <w:jc w:val="right"/>
        <w:rPr>
          <w:rFonts w:ascii="Arial" w:hAnsi="Arial" w:cs="Arial"/>
          <w:sz w:val="20"/>
          <w:szCs w:val="20"/>
        </w:rPr>
      </w:pPr>
      <w:bookmarkStart w:id="0" w:name="2"/>
      <w:bookmarkStart w:id="1" w:name="9"/>
      <w:bookmarkEnd w:id="0"/>
      <w:bookmarkEnd w:id="1"/>
      <w:r w:rsidRPr="004D046F">
        <w:rPr>
          <w:rFonts w:ascii="Arial" w:hAnsi="Arial" w:cs="Arial"/>
          <w:sz w:val="20"/>
          <w:szCs w:val="20"/>
        </w:rPr>
        <w:t>Deutsche Anwalts- und</w:t>
      </w:r>
    </w:p>
    <w:p w:rsidR="00E1747D" w:rsidRPr="004D046F" w:rsidRDefault="00E1747D" w:rsidP="00E1747D">
      <w:pPr>
        <w:jc w:val="right"/>
        <w:rPr>
          <w:rFonts w:ascii="Arial" w:hAnsi="Arial" w:cs="Arial"/>
          <w:sz w:val="20"/>
          <w:szCs w:val="20"/>
        </w:rPr>
      </w:pPr>
      <w:r w:rsidRPr="004D046F">
        <w:rPr>
          <w:rFonts w:ascii="Arial" w:hAnsi="Arial" w:cs="Arial"/>
          <w:sz w:val="20"/>
          <w:szCs w:val="20"/>
        </w:rPr>
        <w:t>Steuerberatervereinigung</w:t>
      </w:r>
    </w:p>
    <w:p w:rsidR="00E1747D" w:rsidRPr="004D046F" w:rsidRDefault="00E1747D" w:rsidP="00E1747D">
      <w:pPr>
        <w:jc w:val="right"/>
        <w:rPr>
          <w:rFonts w:ascii="Arial" w:hAnsi="Arial" w:cs="Arial"/>
          <w:sz w:val="20"/>
          <w:szCs w:val="20"/>
        </w:rPr>
      </w:pPr>
      <w:r w:rsidRPr="004D046F">
        <w:rPr>
          <w:rFonts w:ascii="Arial" w:hAnsi="Arial" w:cs="Arial"/>
          <w:sz w:val="20"/>
          <w:szCs w:val="20"/>
        </w:rPr>
        <w:t>für die mittelständische</w:t>
      </w:r>
    </w:p>
    <w:p w:rsidR="00E1747D" w:rsidRPr="004D046F" w:rsidRDefault="00E1747D" w:rsidP="00E1747D">
      <w:pPr>
        <w:spacing w:line="360" w:lineRule="auto"/>
        <w:jc w:val="right"/>
        <w:rPr>
          <w:rFonts w:ascii="Arial" w:hAnsi="Arial" w:cs="Arial"/>
          <w:sz w:val="20"/>
          <w:szCs w:val="20"/>
        </w:rPr>
      </w:pPr>
      <w:r w:rsidRPr="004D046F">
        <w:rPr>
          <w:rFonts w:ascii="Arial" w:hAnsi="Arial" w:cs="Arial"/>
          <w:sz w:val="20"/>
          <w:szCs w:val="20"/>
        </w:rPr>
        <w:t>Wirtschaft e. V.</w:t>
      </w:r>
    </w:p>
    <w:p w:rsidR="001E5B86" w:rsidRDefault="001E5B86" w:rsidP="00E1747D">
      <w:pPr>
        <w:spacing w:line="360" w:lineRule="auto"/>
        <w:jc w:val="both"/>
        <w:rPr>
          <w:rFonts w:ascii="Arial" w:hAnsi="Arial" w:cs="Arial"/>
          <w:b/>
          <w:bCs/>
          <w:lang w:eastAsia="de-DE"/>
        </w:rPr>
      </w:pPr>
    </w:p>
    <w:p w:rsidR="001E5B86" w:rsidRDefault="001E5B86" w:rsidP="00E1747D">
      <w:pPr>
        <w:spacing w:line="360" w:lineRule="auto"/>
        <w:jc w:val="both"/>
        <w:rPr>
          <w:rFonts w:ascii="Arial" w:hAnsi="Arial" w:cs="Arial"/>
          <w:b/>
          <w:bCs/>
          <w:lang w:eastAsia="de-DE"/>
        </w:rPr>
      </w:pPr>
      <w:r>
        <w:rPr>
          <w:rFonts w:ascii="Arial" w:hAnsi="Arial" w:cs="Arial"/>
          <w:b/>
          <w:bCs/>
          <w:lang w:eastAsia="de-DE"/>
        </w:rPr>
        <w:t xml:space="preserve">Steuerpflichtiger Zinsertrag bei verbilligter Veräußerung eines Hausgrundstücks gegen Rentenzahlungen </w:t>
      </w:r>
    </w:p>
    <w:p w:rsidR="00E1747D" w:rsidRPr="00E1747D" w:rsidRDefault="00E1747D" w:rsidP="00E1747D">
      <w:pPr>
        <w:spacing w:line="360" w:lineRule="auto"/>
        <w:jc w:val="both"/>
        <w:rPr>
          <w:rFonts w:ascii="Arial" w:hAnsi="Arial" w:cs="Arial"/>
          <w:bCs/>
          <w:lang w:eastAsia="de-DE"/>
        </w:rPr>
      </w:pPr>
    </w:p>
    <w:p w:rsidR="00E1747D" w:rsidRPr="006F2FBA" w:rsidRDefault="00E1747D" w:rsidP="00E1747D">
      <w:pPr>
        <w:spacing w:line="360" w:lineRule="auto"/>
        <w:jc w:val="both"/>
        <w:rPr>
          <w:rFonts w:ascii="Arial" w:hAnsi="Arial" w:cs="Arial"/>
        </w:rPr>
      </w:pPr>
      <w:r>
        <w:rPr>
          <w:rFonts w:ascii="Arial" w:hAnsi="Arial" w:cs="Arial"/>
        </w:rPr>
        <w:t>ein Artikel von Steuerberater Jörg Passau, Kiel</w:t>
      </w:r>
    </w:p>
    <w:p w:rsidR="00E1747D" w:rsidRPr="00E1747D" w:rsidRDefault="00E1747D" w:rsidP="00E1747D">
      <w:pPr>
        <w:spacing w:line="360" w:lineRule="auto"/>
        <w:jc w:val="both"/>
        <w:rPr>
          <w:rFonts w:ascii="Arial" w:hAnsi="Arial" w:cs="Arial"/>
          <w:bCs/>
          <w:lang w:eastAsia="de-DE"/>
        </w:rPr>
      </w:pPr>
    </w:p>
    <w:p w:rsidR="001E5B86" w:rsidRDefault="001E5B86" w:rsidP="00E1747D">
      <w:pPr>
        <w:spacing w:line="360" w:lineRule="auto"/>
        <w:jc w:val="both"/>
        <w:rPr>
          <w:rFonts w:ascii="Arial" w:hAnsi="Arial" w:cs="Arial"/>
          <w:b/>
          <w:bCs/>
        </w:rPr>
      </w:pPr>
      <w:r>
        <w:rPr>
          <w:rFonts w:ascii="Arial" w:hAnsi="Arial" w:cs="Arial"/>
          <w:b/>
          <w:bCs/>
        </w:rPr>
        <w:t>Übertragen Eltern im Wege der vorweggenommenen Erbfolge ein Grundstück samt aufstehendem Gebäude gegen eine Veräußerungszeitrente an ihre Kinder, fließen den Eltern mit den Rentenzahlungen steuerpflichtige Zinseinkünfte gemäß § 20 Abs. 1 Nr. 7 des Einkommensteuergesetzes (EStG) zu, soweit die Rentenzahlungen nicht auf den Unterschiedsbetrag zwischen dem Barwert des Rentenstammrechts zu Beginn und zum Ende des jeweiligen Kalenderjahres</w:t>
      </w:r>
      <w:bookmarkStart w:id="2" w:name="_GoBack"/>
      <w:bookmarkEnd w:id="2"/>
      <w:r>
        <w:rPr>
          <w:rFonts w:ascii="Arial" w:hAnsi="Arial" w:cs="Arial"/>
          <w:b/>
          <w:bCs/>
        </w:rPr>
        <w:t xml:space="preserve"> entfallen.</w:t>
      </w:r>
    </w:p>
    <w:p w:rsidR="001E5B86" w:rsidRDefault="001E5B86" w:rsidP="00E1747D">
      <w:pPr>
        <w:spacing w:line="360" w:lineRule="auto"/>
        <w:jc w:val="both"/>
        <w:rPr>
          <w:rFonts w:ascii="Arial" w:hAnsi="Arial" w:cs="Arial"/>
          <w:b/>
          <w:bCs/>
        </w:rPr>
      </w:pPr>
    </w:p>
    <w:p w:rsidR="001E5B86" w:rsidRDefault="001E5B86" w:rsidP="00E1747D">
      <w:pPr>
        <w:spacing w:line="360" w:lineRule="auto"/>
        <w:jc w:val="both"/>
        <w:rPr>
          <w:rFonts w:ascii="Arial" w:hAnsi="Arial" w:cs="Arial"/>
        </w:rPr>
      </w:pPr>
      <w:r>
        <w:rPr>
          <w:rFonts w:ascii="Arial" w:hAnsi="Arial" w:cs="Arial"/>
        </w:rPr>
        <w:t>Unerheblich ist, ob es sich um eine teilentgeltliche Übertragung handelt, bei der die Summe der Rentenzahlungen niedriger als der Verkehrswert der Immobilie im Übertragungszeitpunkt ist.</w:t>
      </w:r>
    </w:p>
    <w:p w:rsidR="001E5B86" w:rsidRDefault="001E5B86" w:rsidP="00E1747D">
      <w:pPr>
        <w:spacing w:line="360" w:lineRule="auto"/>
        <w:jc w:val="both"/>
        <w:rPr>
          <w:rFonts w:ascii="Arial" w:hAnsi="Arial" w:cs="Arial"/>
          <w:b/>
          <w:bCs/>
        </w:rPr>
      </w:pPr>
    </w:p>
    <w:p w:rsidR="001E5B86" w:rsidRDefault="001E5B86" w:rsidP="00E1747D">
      <w:pPr>
        <w:spacing w:line="360" w:lineRule="auto"/>
        <w:jc w:val="both"/>
        <w:rPr>
          <w:rFonts w:ascii="Arial" w:hAnsi="Arial" w:cs="Arial"/>
        </w:rPr>
      </w:pPr>
      <w:r>
        <w:rPr>
          <w:rFonts w:ascii="Arial" w:hAnsi="Arial" w:cs="Arial"/>
        </w:rPr>
        <w:t>Darauf verweist der K</w:t>
      </w:r>
      <w:r w:rsidR="00E1747D">
        <w:rPr>
          <w:rFonts w:ascii="Arial" w:hAnsi="Arial" w:cs="Arial"/>
        </w:rPr>
        <w:t>ieler Steuerberater Jörg Passau von der</w:t>
      </w:r>
      <w:r>
        <w:rPr>
          <w:rFonts w:ascii="Arial" w:hAnsi="Arial" w:cs="Arial"/>
        </w:rPr>
        <w:t xml:space="preserve"> </w:t>
      </w:r>
      <w:r w:rsidR="00E1747D" w:rsidRPr="00277CE1">
        <w:rPr>
          <w:rFonts w:ascii="Arial" w:hAnsi="Arial" w:cs="Arial"/>
          <w:bCs/>
          <w:lang w:eastAsia="de-DE"/>
        </w:rPr>
        <w:t>DASV Deutsche Anwalts- und Steuerberatervereinigung für die mittelständische Wirtschaft e. V. mit Sitz in Kiel</w:t>
      </w:r>
      <w:r>
        <w:rPr>
          <w:rFonts w:ascii="Arial" w:hAnsi="Arial" w:cs="Arial"/>
        </w:rPr>
        <w:t>, unter Hinweis auf die Mitteilung des Bundesfinanzhofs (BFH) vom 15.10.2020 zu seinem Urteil vom 14.07.2020 – VIII R 3/17.</w:t>
      </w:r>
    </w:p>
    <w:p w:rsidR="001E5B86" w:rsidRDefault="001E5B86" w:rsidP="00E1747D">
      <w:pPr>
        <w:spacing w:line="360" w:lineRule="auto"/>
        <w:jc w:val="both"/>
        <w:rPr>
          <w:rFonts w:ascii="Arial" w:hAnsi="Arial" w:cs="Arial"/>
        </w:rPr>
      </w:pPr>
    </w:p>
    <w:p w:rsidR="001E5B86" w:rsidRDefault="001E5B86" w:rsidP="00E1747D">
      <w:pPr>
        <w:spacing w:line="360" w:lineRule="auto"/>
        <w:jc w:val="both"/>
        <w:rPr>
          <w:rFonts w:ascii="Arial" w:hAnsi="Arial" w:cs="Arial"/>
        </w:rPr>
      </w:pPr>
      <w:r>
        <w:rPr>
          <w:rFonts w:ascii="Arial" w:hAnsi="Arial" w:cs="Arial"/>
        </w:rPr>
        <w:t xml:space="preserve">Die Kläger, ein zusammen veranlagtes Ehepaar, hatten im Jahr 2012 einem ihrer Söhne und dessen Ehefrau ein Grundstück mit Gebäude gegen eine monatliche Rente in Höhe von 1.000 € übertragen. Die Rente hatte insgesamt eine Laufzeit von 30 Jahren und 2 Monaten, zu Beginn des Streitjahres 2013 betrug die Laufzeit noch 29 Jahre und 2 Monate. Die Rente war bis zum Tod des Längstlebenden der Kläger und danach bis zum Ende der Laufzeit an deren Erben zu zahlen. Die Kläger argumentierten, die Rentenzahlungen seien nicht  in einen Tilgungs- und Zinsanteil aufzuteilen (§ 13 Abs. 1 des Bewertungsgesetzes (BewG)). Sie hätten die Immobilie  mit Rücksicht auf die finanzielle Leistungsfähigkeit des Sohns und der Schwiegertochter bewusst gegen niedrige Rentenzahlungen mit langer Laufzeit zu einem Entgelt unterhalb des Verkehrswerts am Übertragungsstichtag  übertragen, statt die Immobilie zu einem marktgerechten Preis zu veräußern und den Verkaufserlös anzulegen. Da sie bewusst auf Einnahmen verzichtet und den Übernehmern diese Vorteile wirtschaftlich </w:t>
      </w:r>
      <w:r>
        <w:rPr>
          <w:rFonts w:ascii="Arial" w:hAnsi="Arial" w:cs="Arial"/>
        </w:rPr>
        <w:lastRenderedPageBreak/>
        <w:t>betrachtet zugewendet hätten, könnten die Rentenzahlungen keinen einkommensteuerbaren Zinsertrag enthalten.</w:t>
      </w:r>
    </w:p>
    <w:p w:rsidR="00E1747D" w:rsidRDefault="00E1747D" w:rsidP="00E1747D">
      <w:pPr>
        <w:spacing w:line="360" w:lineRule="auto"/>
        <w:jc w:val="both"/>
        <w:rPr>
          <w:rFonts w:ascii="Arial" w:hAnsi="Arial" w:cs="Arial"/>
        </w:rPr>
      </w:pPr>
    </w:p>
    <w:p w:rsidR="001E5B86" w:rsidRDefault="001E5B86" w:rsidP="00E1747D">
      <w:pPr>
        <w:spacing w:line="360" w:lineRule="auto"/>
        <w:jc w:val="both"/>
        <w:rPr>
          <w:rFonts w:ascii="Arial" w:hAnsi="Arial" w:cs="Arial"/>
        </w:rPr>
      </w:pPr>
      <w:r>
        <w:rPr>
          <w:rFonts w:ascii="Arial" w:hAnsi="Arial" w:cs="Arial"/>
        </w:rPr>
        <w:t xml:space="preserve">Der BFH folgte der Argumentation der Kläger nicht. Es handele sich nicht um eine unentgeltliche erbrechtliche Übertragung, sondern trotz der Übertragung zu einem Preis unterhalb des Verkehrswerts um ein einkommensteuerbares Veräußerungsgeschäft. Die Rentenzahlungen aus einer Veräußerungszeitrente seien beim Veräußerer und Erwerber gemäß § 13 Abs. 1 BewG in einen Tilgungs- und Zinsanteil aufzuteilen. Der Tilgungsanteil entspreche dem Barwert des Rentenstammrechts, der sich aus der Abzinsung aller noch ausstehenden Teilbeträge ergebe. In Höhe der Differenz des Barwerts der Rentenforderung zur jeweiligen Rentenzahlung erziele </w:t>
      </w:r>
      <w:proofErr w:type="gramStart"/>
      <w:r>
        <w:rPr>
          <w:rFonts w:ascii="Arial" w:hAnsi="Arial" w:cs="Arial"/>
        </w:rPr>
        <w:t>der Veräußerer</w:t>
      </w:r>
      <w:proofErr w:type="gramEnd"/>
      <w:r>
        <w:rPr>
          <w:rFonts w:ascii="Arial" w:hAnsi="Arial" w:cs="Arial"/>
        </w:rPr>
        <w:t xml:space="preserve"> einen steuerpflichtigen Zinsertrag. Dies gelte auch, wenn die dem Veräußerer zufließenden Tilgungsanteile nicht im Rahmen eines privaten Veräußerungsgeschäfts gemäß § 23 EStG einkommensteuerbar seien. Der BFH erachtete den für die Aufteilung der Rentenforderung in einen Tilgungs- und Zinsanteil gemäß § 13 Abs. 1 BewG maßgeblichen Zinssatz von 5,5% auch für verfassungsgemäß. Der in den Rentenzahlungen des Streitjahres 2013 (12.000 €) enthaltene Zinsanteil betrug danach 9.420</w:t>
      </w:r>
      <w:r w:rsidR="00E1747D">
        <w:rPr>
          <w:rFonts w:ascii="Arial" w:hAnsi="Arial" w:cs="Arial"/>
        </w:rPr>
        <w:t> </w:t>
      </w:r>
      <w:r>
        <w:rPr>
          <w:rFonts w:ascii="Arial" w:hAnsi="Arial" w:cs="Arial"/>
        </w:rPr>
        <w:t xml:space="preserve"> € und führte in dieser Höhe zu steuerpflichtigen Zinseinkünften der Kläger.</w:t>
      </w:r>
    </w:p>
    <w:p w:rsidR="00E1747D" w:rsidRDefault="00E1747D" w:rsidP="00E1747D">
      <w:pPr>
        <w:spacing w:line="360" w:lineRule="auto"/>
        <w:jc w:val="both"/>
        <w:rPr>
          <w:rFonts w:ascii="Arial" w:hAnsi="Arial" w:cs="Arial"/>
        </w:rPr>
      </w:pPr>
    </w:p>
    <w:p w:rsidR="001E5B86" w:rsidRDefault="001E5B86" w:rsidP="00E1747D">
      <w:pPr>
        <w:spacing w:line="360" w:lineRule="auto"/>
        <w:jc w:val="both"/>
        <w:rPr>
          <w:rFonts w:ascii="Arial" w:hAnsi="Arial" w:cs="Arial"/>
        </w:rPr>
      </w:pPr>
      <w:r>
        <w:rPr>
          <w:rFonts w:ascii="Arial" w:hAnsi="Arial" w:cs="Arial"/>
        </w:rPr>
        <w:t xml:space="preserve">Zinseinkünfte unterliegen ab 2009 bei Zufluss grundsätzlich dem gesonderten Tarif gemäß § 32d Abs. 1 EStG von 25% (zuzüglich Solidaritätszuschlag und gegebenenfalls Kirchensteuer), es sei denn, der Steuerpflichtige kann --wie die Kläger des vom BFH entschiedenen Streitfalls-- erfolgreich einen Antrag auf </w:t>
      </w:r>
      <w:proofErr w:type="spellStart"/>
      <w:r>
        <w:rPr>
          <w:rFonts w:ascii="Arial" w:hAnsi="Arial" w:cs="Arial"/>
        </w:rPr>
        <w:t>Günstigerprüfung</w:t>
      </w:r>
      <w:proofErr w:type="spellEnd"/>
      <w:r>
        <w:rPr>
          <w:rFonts w:ascii="Arial" w:hAnsi="Arial" w:cs="Arial"/>
        </w:rPr>
        <w:t xml:space="preserve"> (§ 32d Abs. 6 EStG) stellen. Dann sind die Zinseinkünfte dem niedrigeren tariflichen Regelsteuersatz gemäß § 32a EStG zu unterwerfen</w:t>
      </w:r>
    </w:p>
    <w:p w:rsidR="001E5B86" w:rsidRDefault="001E5B86" w:rsidP="00E1747D">
      <w:pPr>
        <w:spacing w:line="360" w:lineRule="auto"/>
        <w:jc w:val="both"/>
        <w:rPr>
          <w:rFonts w:ascii="Arial" w:hAnsi="Arial" w:cs="Arial"/>
        </w:rPr>
      </w:pPr>
    </w:p>
    <w:p w:rsidR="001E5B86" w:rsidRDefault="001E5B86" w:rsidP="00E1747D">
      <w:pPr>
        <w:spacing w:line="360" w:lineRule="auto"/>
        <w:jc w:val="both"/>
        <w:rPr>
          <w:rFonts w:ascii="Arial" w:hAnsi="Arial" w:cs="Arial"/>
        </w:rPr>
      </w:pPr>
      <w:r>
        <w:rPr>
          <w:rFonts w:ascii="Arial" w:hAnsi="Arial" w:cs="Arial"/>
        </w:rPr>
        <w:t>Passau empfahl, dies zu beachten sowie ggf</w:t>
      </w:r>
      <w:r w:rsidR="00E1747D">
        <w:rPr>
          <w:rFonts w:ascii="Arial" w:hAnsi="Arial" w:cs="Arial"/>
        </w:rPr>
        <w:t>s. rechtlichen und steuerlichen</w:t>
      </w:r>
      <w:r>
        <w:rPr>
          <w:rFonts w:ascii="Arial" w:hAnsi="Arial" w:cs="Arial"/>
        </w:rPr>
        <w:t xml:space="preserve"> Rat einzuholen, wobei er u. a. auch auf die </w:t>
      </w:r>
      <w:r w:rsidR="00E1747D" w:rsidRPr="00277CE1">
        <w:rPr>
          <w:rFonts w:ascii="Arial" w:hAnsi="Arial" w:cs="Arial"/>
        </w:rPr>
        <w:t xml:space="preserve">DASV Deutsche Anwalts- und Steuerberatervereinigung für die mittelständische Wirtschaft e. V. – </w:t>
      </w:r>
      <w:hyperlink r:id="rId6" w:history="1">
        <w:r w:rsidR="00E1747D" w:rsidRPr="00277CE1">
          <w:rPr>
            <w:rStyle w:val="Hyperlink"/>
            <w:rFonts w:ascii="Arial" w:hAnsi="Arial" w:cs="Arial"/>
          </w:rPr>
          <w:t>www.mittelstands-anwaelte.de</w:t>
        </w:r>
      </w:hyperlink>
      <w:r w:rsidR="00E1747D">
        <w:rPr>
          <w:rStyle w:val="Hyperlink"/>
          <w:rFonts w:ascii="Arial" w:hAnsi="Arial" w:cs="Arial"/>
        </w:rPr>
        <w:t xml:space="preserve"> </w:t>
      </w:r>
      <w:r>
        <w:rPr>
          <w:rFonts w:ascii="Arial" w:hAnsi="Arial" w:cs="Arial"/>
        </w:rPr>
        <w:t>verwies.</w:t>
      </w:r>
    </w:p>
    <w:p w:rsidR="001E5B86" w:rsidRPr="00E1747D" w:rsidRDefault="001E5B86" w:rsidP="001E5B86">
      <w:pPr>
        <w:jc w:val="both"/>
        <w:rPr>
          <w:rFonts w:ascii="Arial" w:hAnsi="Arial" w:cs="Arial"/>
          <w:bCs/>
        </w:rPr>
      </w:pPr>
    </w:p>
    <w:p w:rsidR="00E1747D" w:rsidRPr="00E1747D" w:rsidRDefault="00E1747D" w:rsidP="001E5B86">
      <w:pPr>
        <w:jc w:val="both"/>
        <w:rPr>
          <w:rFonts w:ascii="Arial" w:hAnsi="Arial" w:cs="Arial"/>
          <w:bCs/>
        </w:rPr>
      </w:pPr>
    </w:p>
    <w:p w:rsidR="00E1747D" w:rsidRPr="00E1747D" w:rsidRDefault="00E1747D" w:rsidP="001E5B86">
      <w:pPr>
        <w:jc w:val="both"/>
        <w:rPr>
          <w:rFonts w:ascii="Arial" w:hAnsi="Arial" w:cs="Arial"/>
          <w:bCs/>
        </w:rPr>
      </w:pPr>
    </w:p>
    <w:p w:rsidR="00E1747D" w:rsidRPr="00E1747D" w:rsidRDefault="00E1747D" w:rsidP="001E5B86">
      <w:pPr>
        <w:jc w:val="both"/>
        <w:rPr>
          <w:rFonts w:ascii="Arial" w:hAnsi="Arial" w:cs="Arial"/>
          <w:bCs/>
        </w:rPr>
      </w:pPr>
    </w:p>
    <w:p w:rsidR="00E1747D" w:rsidRPr="005766FF" w:rsidRDefault="00E1747D" w:rsidP="00E1747D">
      <w:pPr>
        <w:jc w:val="both"/>
        <w:rPr>
          <w:rFonts w:ascii="Arial" w:hAnsi="Arial" w:cs="Arial"/>
          <w:sz w:val="20"/>
          <w:szCs w:val="20"/>
        </w:rPr>
      </w:pPr>
      <w:r w:rsidRPr="005766FF">
        <w:rPr>
          <w:rFonts w:ascii="Arial" w:hAnsi="Arial" w:cs="Arial"/>
          <w:sz w:val="20"/>
          <w:szCs w:val="20"/>
        </w:rPr>
        <w:t>Der Autor ist Mitglied der Deutschen Anwalts- und Steuerberatervereinigung für die mittelständische Wirtschaft e.V.</w:t>
      </w:r>
    </w:p>
    <w:p w:rsidR="00E1747D" w:rsidRPr="005766FF" w:rsidRDefault="00E1747D" w:rsidP="00E1747D">
      <w:pPr>
        <w:jc w:val="both"/>
        <w:rPr>
          <w:rFonts w:ascii="Arial" w:hAnsi="Arial" w:cs="Arial"/>
          <w:sz w:val="20"/>
          <w:szCs w:val="20"/>
        </w:rPr>
      </w:pPr>
    </w:p>
    <w:p w:rsidR="00E1747D" w:rsidRPr="005766FF" w:rsidRDefault="00E1747D" w:rsidP="00E1747D">
      <w:pPr>
        <w:jc w:val="both"/>
        <w:rPr>
          <w:rFonts w:ascii="Arial" w:hAnsi="Arial" w:cs="Arial"/>
          <w:sz w:val="20"/>
          <w:szCs w:val="20"/>
        </w:rPr>
      </w:pPr>
      <w:r w:rsidRPr="005766FF">
        <w:rPr>
          <w:rFonts w:ascii="Arial" w:hAnsi="Arial" w:cs="Arial"/>
          <w:sz w:val="20"/>
          <w:szCs w:val="20"/>
        </w:rPr>
        <w:t>Für Rückfragen stehen Ihnen zur Verfügung:</w:t>
      </w:r>
    </w:p>
    <w:p w:rsidR="00E1747D" w:rsidRPr="005766FF" w:rsidRDefault="00E1747D" w:rsidP="00E1747D">
      <w:pPr>
        <w:rPr>
          <w:rFonts w:ascii="Arial" w:hAnsi="Arial" w:cs="Arial"/>
        </w:rPr>
      </w:pPr>
    </w:p>
    <w:p w:rsidR="00E1747D" w:rsidRPr="005766FF" w:rsidRDefault="00E1747D" w:rsidP="00E1747D">
      <w:pPr>
        <w:jc w:val="both"/>
        <w:rPr>
          <w:rFonts w:ascii="Arial" w:hAnsi="Arial" w:cs="Arial"/>
          <w:sz w:val="20"/>
          <w:szCs w:val="20"/>
        </w:rPr>
      </w:pPr>
      <w:r w:rsidRPr="005766FF">
        <w:rPr>
          <w:rFonts w:ascii="Arial" w:hAnsi="Arial" w:cs="Arial"/>
          <w:sz w:val="20"/>
          <w:szCs w:val="20"/>
        </w:rPr>
        <w:t>Jörg Passau</w:t>
      </w:r>
    </w:p>
    <w:p w:rsidR="00E1747D" w:rsidRPr="005766FF" w:rsidRDefault="00E1747D" w:rsidP="00E1747D">
      <w:pPr>
        <w:jc w:val="both"/>
        <w:rPr>
          <w:rFonts w:ascii="Arial" w:hAnsi="Arial" w:cs="Arial"/>
          <w:sz w:val="20"/>
          <w:szCs w:val="20"/>
        </w:rPr>
      </w:pPr>
      <w:r w:rsidRPr="005766FF">
        <w:rPr>
          <w:rFonts w:ascii="Arial" w:hAnsi="Arial" w:cs="Arial"/>
          <w:sz w:val="20"/>
          <w:szCs w:val="20"/>
        </w:rPr>
        <w:t>Steuerberater</w:t>
      </w:r>
    </w:p>
    <w:p w:rsidR="00E1747D" w:rsidRPr="005766FF" w:rsidRDefault="00E1747D" w:rsidP="00E1747D">
      <w:pPr>
        <w:jc w:val="both"/>
        <w:rPr>
          <w:rFonts w:ascii="Arial" w:hAnsi="Arial" w:cs="Arial"/>
          <w:sz w:val="20"/>
          <w:szCs w:val="20"/>
        </w:rPr>
      </w:pPr>
      <w:r w:rsidRPr="005766FF">
        <w:rPr>
          <w:rFonts w:ascii="Arial" w:hAnsi="Arial" w:cs="Arial"/>
          <w:sz w:val="20"/>
          <w:szCs w:val="20"/>
        </w:rPr>
        <w:t xml:space="preserve">Passau, Niemeyer &amp; </w:t>
      </w:r>
      <w:proofErr w:type="spellStart"/>
      <w:r w:rsidRPr="005766FF">
        <w:rPr>
          <w:rFonts w:ascii="Arial" w:hAnsi="Arial" w:cs="Arial"/>
          <w:sz w:val="20"/>
          <w:szCs w:val="20"/>
        </w:rPr>
        <w:t>Collegen</w:t>
      </w:r>
      <w:proofErr w:type="spellEnd"/>
      <w:r w:rsidRPr="005766FF">
        <w:rPr>
          <w:rFonts w:ascii="Arial" w:hAnsi="Arial" w:cs="Arial"/>
          <w:sz w:val="20"/>
          <w:szCs w:val="20"/>
        </w:rPr>
        <w:t xml:space="preserve"> </w:t>
      </w:r>
    </w:p>
    <w:p w:rsidR="00E1747D" w:rsidRPr="005766FF" w:rsidRDefault="00E1747D" w:rsidP="00E1747D">
      <w:pPr>
        <w:jc w:val="both"/>
        <w:rPr>
          <w:rFonts w:ascii="Arial" w:hAnsi="Arial" w:cs="Arial"/>
          <w:sz w:val="20"/>
          <w:szCs w:val="20"/>
        </w:rPr>
      </w:pPr>
      <w:r w:rsidRPr="005766FF">
        <w:rPr>
          <w:rFonts w:ascii="Arial" w:hAnsi="Arial" w:cs="Arial"/>
          <w:sz w:val="20"/>
          <w:szCs w:val="20"/>
        </w:rPr>
        <w:t>Walkerdamm 1</w:t>
      </w:r>
    </w:p>
    <w:p w:rsidR="00E1747D" w:rsidRPr="005766FF" w:rsidRDefault="00E1747D" w:rsidP="00E1747D">
      <w:pPr>
        <w:jc w:val="both"/>
        <w:rPr>
          <w:rFonts w:ascii="Arial" w:hAnsi="Arial" w:cs="Arial"/>
          <w:sz w:val="20"/>
          <w:szCs w:val="20"/>
        </w:rPr>
      </w:pPr>
      <w:r w:rsidRPr="005766FF">
        <w:rPr>
          <w:rFonts w:ascii="Arial" w:hAnsi="Arial" w:cs="Arial"/>
          <w:sz w:val="20"/>
          <w:szCs w:val="20"/>
        </w:rPr>
        <w:t>24103 Kiel</w:t>
      </w:r>
    </w:p>
    <w:p w:rsidR="00E1747D" w:rsidRPr="005766FF" w:rsidRDefault="00E1747D" w:rsidP="00E1747D">
      <w:pPr>
        <w:jc w:val="both"/>
        <w:rPr>
          <w:rFonts w:ascii="Arial" w:hAnsi="Arial" w:cs="Arial"/>
          <w:sz w:val="20"/>
          <w:szCs w:val="20"/>
        </w:rPr>
      </w:pPr>
      <w:r w:rsidRPr="005766FF">
        <w:rPr>
          <w:rFonts w:ascii="Arial" w:hAnsi="Arial" w:cs="Arial"/>
          <w:sz w:val="20"/>
          <w:szCs w:val="20"/>
        </w:rPr>
        <w:t>Tel:  0431 – 974 3010</w:t>
      </w:r>
      <w:r>
        <w:rPr>
          <w:rFonts w:ascii="Arial" w:hAnsi="Arial" w:cs="Arial"/>
          <w:sz w:val="20"/>
          <w:szCs w:val="20"/>
        </w:rPr>
        <w:tab/>
      </w:r>
      <w:r w:rsidRPr="005766FF">
        <w:rPr>
          <w:rFonts w:ascii="Arial" w:hAnsi="Arial" w:cs="Arial"/>
          <w:sz w:val="20"/>
          <w:szCs w:val="20"/>
        </w:rPr>
        <w:t>Fax: 0431 – 974 3055</w:t>
      </w:r>
    </w:p>
    <w:p w:rsidR="00E1747D" w:rsidRPr="005766FF" w:rsidRDefault="00E1747D" w:rsidP="00E1747D">
      <w:pPr>
        <w:jc w:val="both"/>
        <w:rPr>
          <w:rFonts w:ascii="Arial" w:hAnsi="Arial" w:cs="Arial"/>
          <w:sz w:val="20"/>
          <w:szCs w:val="20"/>
        </w:rPr>
      </w:pPr>
      <w:r w:rsidRPr="005766FF">
        <w:rPr>
          <w:rFonts w:ascii="Arial" w:hAnsi="Arial" w:cs="Arial"/>
          <w:sz w:val="20"/>
          <w:szCs w:val="20"/>
        </w:rPr>
        <w:t>E</w:t>
      </w:r>
      <w:r>
        <w:rPr>
          <w:rFonts w:ascii="Arial" w:hAnsi="Arial" w:cs="Arial"/>
          <w:sz w:val="20"/>
          <w:szCs w:val="20"/>
        </w:rPr>
        <w:t>-M</w:t>
      </w:r>
      <w:r w:rsidRPr="005766FF">
        <w:rPr>
          <w:rFonts w:ascii="Arial" w:hAnsi="Arial" w:cs="Arial"/>
          <w:sz w:val="20"/>
          <w:szCs w:val="20"/>
        </w:rPr>
        <w:t xml:space="preserve">ail: </w:t>
      </w:r>
      <w:hyperlink r:id="rId7" w:history="1">
        <w:r w:rsidRPr="00263C1B">
          <w:rPr>
            <w:rStyle w:val="Hyperlink"/>
            <w:rFonts w:ascii="Arial" w:hAnsi="Arial" w:cs="Arial"/>
            <w:sz w:val="20"/>
            <w:szCs w:val="20"/>
          </w:rPr>
          <w:t>j.passau@pani-c.de</w:t>
        </w:r>
      </w:hyperlink>
      <w:r w:rsidRPr="007E6A23">
        <w:rPr>
          <w:rFonts w:ascii="Arial" w:hAnsi="Arial" w:cs="Arial"/>
          <w:color w:val="0000FF"/>
          <w:sz w:val="20"/>
          <w:szCs w:val="20"/>
        </w:rPr>
        <w:tab/>
      </w:r>
      <w:hyperlink r:id="rId8" w:history="1">
        <w:r w:rsidRPr="005766FF">
          <w:rPr>
            <w:rFonts w:ascii="Arial" w:hAnsi="Arial" w:cs="Arial"/>
            <w:color w:val="0000FF"/>
            <w:sz w:val="20"/>
            <w:szCs w:val="20"/>
            <w:u w:val="single"/>
          </w:rPr>
          <w:t>www.pani-c.de</w:t>
        </w:r>
      </w:hyperlink>
    </w:p>
    <w:p w:rsidR="009C0973" w:rsidRDefault="009C0973" w:rsidP="00E1747D">
      <w:pPr>
        <w:jc w:val="both"/>
      </w:pPr>
    </w:p>
    <w:sectPr w:rsidR="009C097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7D" w:rsidRDefault="00E1747D" w:rsidP="00E1747D">
      <w:r>
        <w:separator/>
      </w:r>
    </w:p>
  </w:endnote>
  <w:endnote w:type="continuationSeparator" w:id="0">
    <w:p w:rsidR="00E1747D" w:rsidRDefault="00E1747D" w:rsidP="00E1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7D" w:rsidRDefault="00E1747D" w:rsidP="00E1747D">
      <w:r>
        <w:separator/>
      </w:r>
    </w:p>
  </w:footnote>
  <w:footnote w:type="continuationSeparator" w:id="0">
    <w:p w:rsidR="00E1747D" w:rsidRDefault="00E1747D" w:rsidP="00E17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7D" w:rsidRPr="004D046F" w:rsidRDefault="00E1747D" w:rsidP="00E1747D">
    <w:pPr>
      <w:tabs>
        <w:tab w:val="center" w:pos="4819"/>
        <w:tab w:val="right" w:pos="9071"/>
      </w:tabs>
      <w:jc w:val="center"/>
      <w:rPr>
        <w:rFonts w:ascii="Arial" w:hAnsi="Arial" w:cs="Arial"/>
        <w:szCs w:val="20"/>
      </w:rPr>
    </w:pPr>
    <w:r>
      <w:rPr>
        <w:rFonts w:ascii="Arial" w:hAnsi="Arial" w:cs="Arial"/>
        <w:b/>
        <w:bCs/>
        <w:sz w:val="28"/>
        <w:szCs w:val="28"/>
      </w:rPr>
      <w:t>mittelstandsdepesche 10</w:t>
    </w:r>
    <w:r w:rsidRPr="004D046F">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86"/>
    <w:rsid w:val="001E5B86"/>
    <w:rsid w:val="00932100"/>
    <w:rsid w:val="009C0973"/>
    <w:rsid w:val="00E17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5A4E-33FB-4CA4-9B07-7A5E4238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B86"/>
    <w:pPr>
      <w:spacing w:after="0" w:line="240" w:lineRule="auto"/>
    </w:pPr>
    <w:rPr>
      <w:rFonts w:ascii="Calibri" w:hAnsi="Calibri" w:cs="Calibri"/>
    </w:rPr>
  </w:style>
  <w:style w:type="paragraph" w:styleId="berschrift1">
    <w:name w:val="heading 1"/>
    <w:basedOn w:val="Standard"/>
    <w:link w:val="berschrift1Zchn"/>
    <w:uiPriority w:val="99"/>
    <w:qFormat/>
    <w:rsid w:val="001E5B86"/>
    <w:pPr>
      <w:keepNext/>
      <w:spacing w:before="240" w:after="60"/>
      <w:outlineLvl w:val="0"/>
    </w:pPr>
    <w:rPr>
      <w:rFonts w:ascii="Cambria" w:hAnsi="Cambria" w:cs="Times New Roman"/>
      <w:b/>
      <w:bCs/>
      <w:kern w:val="3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E5B86"/>
    <w:rPr>
      <w:rFonts w:ascii="Cambria" w:hAnsi="Cambria" w:cs="Times New Roman"/>
      <w:b/>
      <w:bCs/>
      <w:kern w:val="36"/>
      <w:sz w:val="32"/>
      <w:szCs w:val="32"/>
    </w:rPr>
  </w:style>
  <w:style w:type="character" w:styleId="Hyperlink">
    <w:name w:val="Hyperlink"/>
    <w:basedOn w:val="Absatz-Standardschriftart"/>
    <w:uiPriority w:val="99"/>
    <w:semiHidden/>
    <w:unhideWhenUsed/>
    <w:rsid w:val="001E5B86"/>
    <w:rPr>
      <w:color w:val="0563C1"/>
      <w:u w:val="single"/>
    </w:rPr>
  </w:style>
  <w:style w:type="character" w:styleId="Fett">
    <w:name w:val="Strong"/>
    <w:basedOn w:val="Absatz-Standardschriftart"/>
    <w:uiPriority w:val="22"/>
    <w:qFormat/>
    <w:rsid w:val="001E5B86"/>
    <w:rPr>
      <w:rFonts w:ascii="Times New Roman" w:hAnsi="Times New Roman" w:cs="Times New Roman" w:hint="default"/>
      <w:b/>
      <w:bCs/>
    </w:rPr>
  </w:style>
  <w:style w:type="paragraph" w:styleId="Kopfzeile">
    <w:name w:val="header"/>
    <w:basedOn w:val="Standard"/>
    <w:link w:val="KopfzeileZchn"/>
    <w:uiPriority w:val="99"/>
    <w:unhideWhenUsed/>
    <w:rsid w:val="00E1747D"/>
    <w:pPr>
      <w:tabs>
        <w:tab w:val="center" w:pos="4536"/>
        <w:tab w:val="right" w:pos="9072"/>
      </w:tabs>
    </w:pPr>
  </w:style>
  <w:style w:type="character" w:customStyle="1" w:styleId="KopfzeileZchn">
    <w:name w:val="Kopfzeile Zchn"/>
    <w:basedOn w:val="Absatz-Standardschriftart"/>
    <w:link w:val="Kopfzeile"/>
    <w:uiPriority w:val="99"/>
    <w:rsid w:val="00E1747D"/>
    <w:rPr>
      <w:rFonts w:ascii="Calibri" w:hAnsi="Calibri" w:cs="Calibri"/>
    </w:rPr>
  </w:style>
  <w:style w:type="paragraph" w:styleId="Fuzeile">
    <w:name w:val="footer"/>
    <w:basedOn w:val="Standard"/>
    <w:link w:val="FuzeileZchn"/>
    <w:uiPriority w:val="99"/>
    <w:unhideWhenUsed/>
    <w:rsid w:val="00E1747D"/>
    <w:pPr>
      <w:tabs>
        <w:tab w:val="center" w:pos="4536"/>
        <w:tab w:val="right" w:pos="9072"/>
      </w:tabs>
    </w:pPr>
  </w:style>
  <w:style w:type="character" w:customStyle="1" w:styleId="FuzeileZchn">
    <w:name w:val="Fußzeile Zchn"/>
    <w:basedOn w:val="Absatz-Standardschriftart"/>
    <w:link w:val="Fuzeile"/>
    <w:uiPriority w:val="99"/>
    <w:rsid w:val="00E1747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v-verband.de" TargetMode="External"/><Relationship Id="rId3" Type="http://schemas.openxmlformats.org/officeDocument/2006/relationships/webSettings" Target="webSettings.xml"/><Relationship Id="rId7" Type="http://schemas.openxmlformats.org/officeDocument/2006/relationships/hyperlink" Target="mailto:j.passau@pani-c.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ttelstands-anwaelt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4074</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2020-10-16T09:55:00Z</dcterms:created>
  <dcterms:modified xsi:type="dcterms:W3CDTF">2020-10-29T08:04:00Z</dcterms:modified>
</cp:coreProperties>
</file>