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F52" w:rsidRPr="00623F52" w:rsidRDefault="00623F52" w:rsidP="00623F52">
      <w:pPr>
        <w:tabs>
          <w:tab w:val="center" w:pos="4536"/>
          <w:tab w:val="right" w:pos="9072"/>
        </w:tabs>
        <w:jc w:val="right"/>
        <w:rPr>
          <w:rFonts w:ascii="Arial" w:hAnsi="Arial" w:cs="Arial"/>
          <w:sz w:val="22"/>
          <w:szCs w:val="22"/>
          <w:lang w:eastAsia="en-US"/>
        </w:rPr>
      </w:pPr>
      <w:r w:rsidRPr="00623F52">
        <w:rPr>
          <w:rFonts w:ascii="Arial" w:hAnsi="Arial" w:cs="Arial"/>
          <w:b/>
          <w:bCs/>
          <w:sz w:val="40"/>
          <w:szCs w:val="40"/>
          <w:lang w:eastAsia="en-US"/>
        </w:rPr>
        <w:t>DASV</w:t>
      </w:r>
    </w:p>
    <w:p w:rsidR="00623F52" w:rsidRPr="00623F52" w:rsidRDefault="00623F52" w:rsidP="00623F52">
      <w:pPr>
        <w:jc w:val="right"/>
        <w:rPr>
          <w:rFonts w:ascii="Arial" w:hAnsi="Arial" w:cs="Arial"/>
          <w:sz w:val="20"/>
          <w:szCs w:val="20"/>
          <w:lang w:eastAsia="en-US"/>
        </w:rPr>
      </w:pPr>
      <w:bookmarkStart w:id="0" w:name="2"/>
      <w:bookmarkStart w:id="1" w:name="9"/>
      <w:bookmarkEnd w:id="0"/>
      <w:bookmarkEnd w:id="1"/>
      <w:r w:rsidRPr="00623F52">
        <w:rPr>
          <w:rFonts w:ascii="Arial" w:hAnsi="Arial" w:cs="Arial"/>
          <w:sz w:val="20"/>
          <w:szCs w:val="20"/>
          <w:lang w:eastAsia="en-US"/>
        </w:rPr>
        <w:t>Deutsche Anwalts- und</w:t>
      </w:r>
    </w:p>
    <w:p w:rsidR="00623F52" w:rsidRPr="00623F52" w:rsidRDefault="00623F52" w:rsidP="00623F52">
      <w:pPr>
        <w:jc w:val="right"/>
        <w:rPr>
          <w:rFonts w:ascii="Arial" w:hAnsi="Arial" w:cs="Arial"/>
          <w:sz w:val="20"/>
          <w:szCs w:val="20"/>
          <w:lang w:eastAsia="en-US"/>
        </w:rPr>
      </w:pPr>
      <w:r w:rsidRPr="00623F52">
        <w:rPr>
          <w:rFonts w:ascii="Arial" w:hAnsi="Arial" w:cs="Arial"/>
          <w:sz w:val="20"/>
          <w:szCs w:val="20"/>
          <w:lang w:eastAsia="en-US"/>
        </w:rPr>
        <w:t>Steuerberatervereinigung</w:t>
      </w:r>
    </w:p>
    <w:p w:rsidR="00623F52" w:rsidRPr="00623F52" w:rsidRDefault="00623F52" w:rsidP="00623F52">
      <w:pPr>
        <w:jc w:val="right"/>
        <w:rPr>
          <w:rFonts w:ascii="Arial" w:hAnsi="Arial" w:cs="Arial"/>
          <w:sz w:val="20"/>
          <w:szCs w:val="20"/>
          <w:lang w:eastAsia="en-US"/>
        </w:rPr>
      </w:pPr>
      <w:r w:rsidRPr="00623F52">
        <w:rPr>
          <w:rFonts w:ascii="Arial" w:hAnsi="Arial" w:cs="Arial"/>
          <w:sz w:val="20"/>
          <w:szCs w:val="20"/>
          <w:lang w:eastAsia="en-US"/>
        </w:rPr>
        <w:t>für die mittelständische</w:t>
      </w:r>
    </w:p>
    <w:p w:rsidR="00623F52" w:rsidRPr="00623F52" w:rsidRDefault="00623F52" w:rsidP="00623F52">
      <w:pPr>
        <w:spacing w:line="360" w:lineRule="auto"/>
        <w:jc w:val="right"/>
        <w:rPr>
          <w:rFonts w:ascii="Arial" w:hAnsi="Arial" w:cs="Arial"/>
          <w:sz w:val="20"/>
          <w:szCs w:val="20"/>
          <w:lang w:eastAsia="en-US"/>
        </w:rPr>
      </w:pPr>
      <w:r w:rsidRPr="00623F52">
        <w:rPr>
          <w:rFonts w:ascii="Arial" w:hAnsi="Arial" w:cs="Arial"/>
          <w:sz w:val="20"/>
          <w:szCs w:val="20"/>
          <w:lang w:eastAsia="en-US"/>
        </w:rPr>
        <w:t>Wirtschaft e. V.</w:t>
      </w:r>
    </w:p>
    <w:p w:rsidR="00623F52" w:rsidRPr="00623F52" w:rsidRDefault="00623F52" w:rsidP="00623F52">
      <w:pPr>
        <w:jc w:val="center"/>
        <w:rPr>
          <w:rFonts w:ascii="Arial" w:eastAsia="Times New Roman" w:hAnsi="Arial" w:cs="Arial"/>
          <w:b/>
          <w:bCs/>
          <w:sz w:val="20"/>
          <w:szCs w:val="20"/>
        </w:rPr>
      </w:pPr>
    </w:p>
    <w:p w:rsidR="00623F52" w:rsidRPr="00623F52" w:rsidRDefault="00623F52" w:rsidP="00623F52">
      <w:pPr>
        <w:jc w:val="center"/>
        <w:rPr>
          <w:rFonts w:ascii="Arial" w:eastAsia="Times New Roman" w:hAnsi="Arial" w:cs="Arial"/>
          <w:b/>
          <w:bCs/>
          <w:sz w:val="20"/>
          <w:szCs w:val="20"/>
        </w:rPr>
      </w:pPr>
      <w:r w:rsidRPr="00623F52">
        <w:rPr>
          <w:rFonts w:ascii="Arial" w:eastAsia="Times New Roman" w:hAnsi="Arial" w:cs="Arial"/>
          <w:b/>
          <w:bCs/>
          <w:sz w:val="20"/>
          <w:szCs w:val="20"/>
        </w:rPr>
        <w:t>10 Urteile, die Ihre Leser interessieren könnten</w:t>
      </w:r>
    </w:p>
    <w:p w:rsidR="00623F52" w:rsidRPr="00623F52" w:rsidRDefault="00623F52" w:rsidP="00623F52">
      <w:pPr>
        <w:jc w:val="both"/>
        <w:rPr>
          <w:rFonts w:ascii="Arial" w:eastAsia="Times New Roman" w:hAnsi="Arial" w:cs="Arial"/>
          <w:bCs/>
          <w:sz w:val="20"/>
          <w:szCs w:val="20"/>
        </w:rPr>
      </w:pPr>
    </w:p>
    <w:p w:rsidR="00623F52" w:rsidRPr="00623F52" w:rsidRDefault="00623F52" w:rsidP="00623F52">
      <w:pPr>
        <w:jc w:val="center"/>
        <w:rPr>
          <w:rFonts w:ascii="Arial" w:eastAsia="Times New Roman" w:hAnsi="Arial" w:cs="Arial"/>
          <w:sz w:val="20"/>
          <w:szCs w:val="20"/>
        </w:rPr>
      </w:pPr>
      <w:r w:rsidRPr="00623F52">
        <w:rPr>
          <w:rFonts w:ascii="Arial" w:eastAsia="Times New Roman" w:hAnsi="Arial" w:cs="Arial"/>
          <w:sz w:val="20"/>
          <w:szCs w:val="20"/>
        </w:rPr>
        <w:t>zusammengestellt von Rechtsanwalt/Fachanwalt für Arbeitsrecht u. Fachanwalt für Erbrecht</w:t>
      </w:r>
    </w:p>
    <w:p w:rsidR="00623F52" w:rsidRPr="00623F52" w:rsidRDefault="00623F52" w:rsidP="00623F52">
      <w:pPr>
        <w:ind w:right="540"/>
        <w:jc w:val="center"/>
        <w:rPr>
          <w:rFonts w:ascii="Arial" w:eastAsia="Times New Roman" w:hAnsi="Arial" w:cs="Arial"/>
          <w:bCs/>
          <w:sz w:val="20"/>
          <w:szCs w:val="20"/>
        </w:rPr>
      </w:pPr>
      <w:r w:rsidRPr="00623F52">
        <w:rPr>
          <w:rFonts w:ascii="Arial" w:eastAsia="Times New Roman" w:hAnsi="Arial" w:cs="Arial"/>
          <w:bCs/>
          <w:sz w:val="20"/>
          <w:szCs w:val="20"/>
        </w:rPr>
        <w:t>Michael Henn, Stuttgart</w:t>
      </w:r>
    </w:p>
    <w:p w:rsidR="00623F52" w:rsidRPr="00623F52" w:rsidRDefault="00623F52" w:rsidP="00CF0C0D">
      <w:pPr>
        <w:pStyle w:val="berschrift3"/>
        <w:rPr>
          <w:rFonts w:ascii="Arial" w:eastAsia="Times New Roman" w:hAnsi="Arial" w:cs="Arial"/>
          <w:sz w:val="20"/>
        </w:rPr>
      </w:pPr>
    </w:p>
    <w:p w:rsidR="00623F52" w:rsidRDefault="00623F52" w:rsidP="00623F52">
      <w:pPr>
        <w:pStyle w:val="berschrift3"/>
        <w:spacing w:after="0" w:line="240" w:lineRule="auto"/>
        <w:jc w:val="center"/>
        <w:rPr>
          <w:rFonts w:ascii="Arial" w:eastAsia="Times New Roman" w:hAnsi="Arial" w:cs="Arial"/>
          <w:sz w:val="20"/>
        </w:rPr>
      </w:pPr>
      <w:r>
        <w:rPr>
          <w:rFonts w:ascii="Arial" w:eastAsia="Times New Roman" w:hAnsi="Arial" w:cs="Arial"/>
          <w:sz w:val="20"/>
        </w:rPr>
        <w:t>I.</w:t>
      </w:r>
    </w:p>
    <w:p w:rsidR="00623F52" w:rsidRPr="00623F52" w:rsidRDefault="00623F52" w:rsidP="00623F52">
      <w:pPr>
        <w:pStyle w:val="berschrift3"/>
        <w:spacing w:after="0" w:line="240" w:lineRule="auto"/>
        <w:jc w:val="center"/>
        <w:rPr>
          <w:rFonts w:ascii="Arial" w:eastAsia="Times New Roman" w:hAnsi="Arial" w:cs="Arial"/>
          <w:sz w:val="20"/>
        </w:rPr>
      </w:pPr>
      <w:r w:rsidRPr="00623F52">
        <w:rPr>
          <w:rFonts w:ascii="Arial" w:eastAsia="Times New Roman" w:hAnsi="Arial" w:cs="Arial"/>
          <w:sz w:val="20"/>
        </w:rPr>
        <w:t>Nachbesserungsverlangen mit Fristsetzung</w:t>
      </w:r>
    </w:p>
    <w:p w:rsidR="00623F52" w:rsidRPr="0079779A" w:rsidRDefault="00623F52" w:rsidP="00623F52">
      <w:pPr>
        <w:pStyle w:val="berschrift3"/>
        <w:spacing w:after="0" w:line="240" w:lineRule="auto"/>
        <w:jc w:val="center"/>
        <w:rPr>
          <w:rFonts w:ascii="Arial" w:eastAsia="Times New Roman" w:hAnsi="Arial" w:cs="Arial"/>
          <w:b w:val="0"/>
          <w:sz w:val="20"/>
        </w:rPr>
      </w:pPr>
      <w:r w:rsidRPr="0079779A">
        <w:rPr>
          <w:rFonts w:ascii="Arial" w:eastAsia="Times New Roman" w:hAnsi="Arial" w:cs="Arial"/>
          <w:b w:val="0"/>
          <w:sz w:val="20"/>
        </w:rPr>
        <w:t>BGH, Urteil vom 26.08.2020, Az. VIII ZR 351/19</w:t>
      </w:r>
    </w:p>
    <w:p w:rsidR="00623F52" w:rsidRPr="00623F52" w:rsidRDefault="00623F52" w:rsidP="00623F52">
      <w:pPr>
        <w:pStyle w:val="berschrift3"/>
        <w:spacing w:after="0" w:line="240" w:lineRule="auto"/>
        <w:rPr>
          <w:rFonts w:ascii="Arial" w:eastAsia="Times New Roman" w:hAnsi="Arial" w:cs="Arial"/>
          <w:sz w:val="20"/>
        </w:rPr>
      </w:pPr>
    </w:p>
    <w:p w:rsidR="00CF0C0D" w:rsidRPr="00623F52" w:rsidRDefault="00CF0C0D" w:rsidP="00623F52">
      <w:pPr>
        <w:jc w:val="both"/>
        <w:rPr>
          <w:rFonts w:ascii="Arial" w:hAnsi="Arial" w:cs="Arial"/>
          <w:sz w:val="20"/>
          <w:szCs w:val="20"/>
        </w:rPr>
      </w:pPr>
      <w:r w:rsidRPr="00623F52">
        <w:rPr>
          <w:rFonts w:ascii="Arial" w:hAnsi="Arial" w:cs="Arial"/>
          <w:sz w:val="20"/>
          <w:szCs w:val="20"/>
        </w:rPr>
        <w:t>Die vom Käufer gesetzte angemessene Frist zur Nacherfüllung ist nicht bereits dann gewahrt, wenn der Verkäufer innerhalb der Frist die Leistungshandlung erbracht hat; vielmehr muss auch der Leistungserfolg eingetreten sein. Die Frist ist allerdings so zu bemessen, dass der Verkäufer bei ordnungsgemäßem Vorgehen vor Fristablauf voraussichtlich nicht nur die Leistungshandlung vornehmen, sondern auch den Leistungserfolg herbeiführen kann.</w:t>
      </w:r>
    </w:p>
    <w:p w:rsidR="00623F52" w:rsidRDefault="00623F52" w:rsidP="00623F52">
      <w:pPr>
        <w:jc w:val="both"/>
        <w:rPr>
          <w:rFonts w:ascii="Arial" w:hAnsi="Arial" w:cs="Arial"/>
          <w:sz w:val="20"/>
          <w:szCs w:val="20"/>
        </w:rPr>
      </w:pPr>
    </w:p>
    <w:p w:rsidR="009C0973" w:rsidRPr="00623F52" w:rsidRDefault="00CF0C0D" w:rsidP="00623F52">
      <w:pPr>
        <w:jc w:val="both"/>
        <w:rPr>
          <w:rFonts w:ascii="Arial" w:hAnsi="Arial" w:cs="Arial"/>
          <w:sz w:val="20"/>
          <w:szCs w:val="20"/>
        </w:rPr>
      </w:pPr>
      <w:r w:rsidRPr="00623F52">
        <w:rPr>
          <w:rFonts w:ascii="Arial" w:hAnsi="Arial" w:cs="Arial"/>
          <w:sz w:val="20"/>
          <w:szCs w:val="20"/>
        </w:rPr>
        <w:t>Hat der Käufer eine angemessene Frist zur Nachbesserung gesetzt, die erfolglos abgelaufen ist, so ist er grundsätzlich nicht gehalten, dem Verkäufer eine zweite Gelegenheit zur Nachbesserung einzuräumen, bevor er den Rücktritt vom Kaufvertrag erklärt. Ein zweimaliges Fehlschlagen der Nachbesserung ist nur dann Rücktrittvoraussetzung, wenn der Käufer sein Nachbesserungsverlangen nicht mit einer Fristsetzung verbunden hat.</w:t>
      </w:r>
    </w:p>
    <w:p w:rsidR="0050504C" w:rsidRPr="00623F52" w:rsidRDefault="0050504C" w:rsidP="00623F52">
      <w:pPr>
        <w:rPr>
          <w:rFonts w:ascii="Arial" w:hAnsi="Arial" w:cs="Arial"/>
          <w:sz w:val="20"/>
          <w:szCs w:val="21"/>
        </w:rPr>
      </w:pPr>
    </w:p>
    <w:p w:rsidR="0050504C" w:rsidRDefault="00623F52" w:rsidP="00623F52">
      <w:pPr>
        <w:jc w:val="center"/>
        <w:rPr>
          <w:rFonts w:ascii="Arial" w:hAnsi="Arial" w:cs="Arial"/>
          <w:b/>
          <w:sz w:val="20"/>
          <w:szCs w:val="20"/>
        </w:rPr>
      </w:pPr>
      <w:r w:rsidRPr="00623F52">
        <w:rPr>
          <w:rFonts w:ascii="Arial" w:hAnsi="Arial" w:cs="Arial"/>
          <w:b/>
          <w:sz w:val="20"/>
          <w:szCs w:val="20"/>
        </w:rPr>
        <w:t>II.</w:t>
      </w:r>
    </w:p>
    <w:p w:rsidR="00623F52" w:rsidRPr="00623F52" w:rsidRDefault="00623F52" w:rsidP="00623F52">
      <w:pPr>
        <w:jc w:val="center"/>
        <w:rPr>
          <w:rFonts w:ascii="Arial" w:hAnsi="Arial" w:cs="Arial"/>
          <w:b/>
          <w:bCs/>
          <w:sz w:val="20"/>
          <w:szCs w:val="20"/>
        </w:rPr>
      </w:pPr>
      <w:r w:rsidRPr="00623F52">
        <w:rPr>
          <w:rFonts w:ascii="Arial" w:hAnsi="Arial" w:cs="Arial"/>
          <w:b/>
          <w:bCs/>
          <w:sz w:val="20"/>
          <w:szCs w:val="20"/>
        </w:rPr>
        <w:t>Entlastung des Geschäftsführers der Komplementärin</w:t>
      </w:r>
    </w:p>
    <w:p w:rsidR="00623F52" w:rsidRPr="00623F52" w:rsidRDefault="00623F52" w:rsidP="00623F52">
      <w:pPr>
        <w:jc w:val="center"/>
        <w:rPr>
          <w:rFonts w:ascii="Arial" w:hAnsi="Arial" w:cs="Arial"/>
          <w:sz w:val="20"/>
          <w:szCs w:val="20"/>
        </w:rPr>
      </w:pPr>
      <w:r>
        <w:rPr>
          <w:rFonts w:ascii="Arial" w:hAnsi="Arial" w:cs="Arial"/>
          <w:sz w:val="20"/>
          <w:szCs w:val="20"/>
        </w:rPr>
        <w:t xml:space="preserve">BGH, </w:t>
      </w:r>
      <w:r w:rsidRPr="00623F52">
        <w:rPr>
          <w:rFonts w:ascii="Arial" w:hAnsi="Arial" w:cs="Arial"/>
          <w:sz w:val="20"/>
          <w:szCs w:val="20"/>
        </w:rPr>
        <w:t>Urteil vom 22.09.2020, Az</w:t>
      </w:r>
      <w:r>
        <w:rPr>
          <w:rFonts w:ascii="Arial" w:hAnsi="Arial" w:cs="Arial"/>
          <w:sz w:val="20"/>
          <w:szCs w:val="20"/>
        </w:rPr>
        <w:t>.</w:t>
      </w:r>
      <w:r w:rsidRPr="00623F52">
        <w:rPr>
          <w:rFonts w:ascii="Arial" w:hAnsi="Arial" w:cs="Arial"/>
          <w:sz w:val="20"/>
          <w:szCs w:val="20"/>
        </w:rPr>
        <w:t xml:space="preserve"> II ZR 141/19</w:t>
      </w:r>
    </w:p>
    <w:p w:rsidR="0050504C" w:rsidRPr="00623F52" w:rsidRDefault="0050504C" w:rsidP="00623F52">
      <w:pPr>
        <w:rPr>
          <w:rFonts w:ascii="Arial" w:hAnsi="Arial" w:cs="Arial"/>
          <w:sz w:val="20"/>
          <w:szCs w:val="20"/>
        </w:rPr>
      </w:pPr>
    </w:p>
    <w:p w:rsidR="00623F52" w:rsidRDefault="0050504C" w:rsidP="00623F52">
      <w:pPr>
        <w:jc w:val="both"/>
        <w:rPr>
          <w:rFonts w:ascii="Arial" w:hAnsi="Arial" w:cs="Arial"/>
          <w:sz w:val="20"/>
          <w:szCs w:val="20"/>
        </w:rPr>
      </w:pPr>
      <w:r w:rsidRPr="00623F52">
        <w:rPr>
          <w:rFonts w:ascii="Arial" w:hAnsi="Arial" w:cs="Arial"/>
          <w:sz w:val="20"/>
          <w:szCs w:val="20"/>
        </w:rPr>
        <w:t>a) Die vorbehaltlose Entlastung der Komplementärin einer GmbH &amp; Co. KG durch ihre Mitgesellschafter bewirkt zugleich die Entlastung des Geschäftsführers der Komplementär-GmbH im Verhältnis zur Kommanditgesellschaft.</w:t>
      </w:r>
    </w:p>
    <w:p w:rsidR="00623F52" w:rsidRDefault="00623F52" w:rsidP="00623F52">
      <w:pPr>
        <w:jc w:val="both"/>
        <w:rPr>
          <w:rFonts w:ascii="Arial" w:hAnsi="Arial" w:cs="Arial"/>
          <w:sz w:val="20"/>
          <w:szCs w:val="20"/>
        </w:rPr>
      </w:pPr>
    </w:p>
    <w:p w:rsidR="0050504C" w:rsidRDefault="0050504C" w:rsidP="00623F52">
      <w:pPr>
        <w:jc w:val="both"/>
        <w:rPr>
          <w:rFonts w:ascii="Arial" w:hAnsi="Arial" w:cs="Arial"/>
          <w:sz w:val="20"/>
          <w:szCs w:val="20"/>
        </w:rPr>
      </w:pPr>
      <w:r w:rsidRPr="00623F52">
        <w:rPr>
          <w:rFonts w:ascii="Arial" w:hAnsi="Arial" w:cs="Arial"/>
          <w:sz w:val="20"/>
          <w:szCs w:val="20"/>
        </w:rPr>
        <w:t>b) Der Geschäftsführer der Komplementärin einer personalistisch strukturierten GmbH &amp; Co. KG hat bei der Führung der Geschäfte der Gesellschaft auch dann die Sorgfalt eines ordentlichen Geschäftsmannes anzuwenden, wenn er Gesellschafter der Kommanditgesellschaft ist.</w:t>
      </w:r>
    </w:p>
    <w:p w:rsidR="00623F52" w:rsidRDefault="00623F52" w:rsidP="00623F52">
      <w:pPr>
        <w:rPr>
          <w:rFonts w:ascii="Arial" w:hAnsi="Arial" w:cs="Arial"/>
          <w:sz w:val="20"/>
          <w:szCs w:val="20"/>
        </w:rPr>
      </w:pPr>
    </w:p>
    <w:p w:rsidR="00623F52" w:rsidRDefault="00623F52" w:rsidP="00623F52">
      <w:pPr>
        <w:jc w:val="center"/>
        <w:rPr>
          <w:rFonts w:ascii="Arial" w:hAnsi="Arial" w:cs="Arial"/>
          <w:b/>
          <w:sz w:val="20"/>
          <w:szCs w:val="20"/>
        </w:rPr>
      </w:pPr>
      <w:r w:rsidRPr="00623F52">
        <w:rPr>
          <w:rFonts w:ascii="Arial" w:hAnsi="Arial" w:cs="Arial"/>
          <w:b/>
          <w:sz w:val="20"/>
          <w:szCs w:val="20"/>
        </w:rPr>
        <w:t>III.</w:t>
      </w:r>
    </w:p>
    <w:p w:rsidR="00C472A1" w:rsidRDefault="00C472A1" w:rsidP="00623F52">
      <w:pPr>
        <w:jc w:val="center"/>
        <w:rPr>
          <w:rFonts w:ascii="Arial" w:hAnsi="Arial" w:cs="Arial"/>
          <w:b/>
          <w:sz w:val="20"/>
          <w:szCs w:val="20"/>
        </w:rPr>
      </w:pPr>
      <w:r w:rsidRPr="00C472A1">
        <w:rPr>
          <w:rFonts w:ascii="Arial" w:hAnsi="Arial" w:cs="Arial"/>
          <w:b/>
          <w:sz w:val="20"/>
          <w:szCs w:val="20"/>
        </w:rPr>
        <w:t>Entschädigungsanspruch nach AGG aufgrund Benachteiligung wegen der Religion - Zulässigkeit der Frage nach der Religionszugehörigkeit bei Einstellung in den kirchlichen Dienst</w:t>
      </w:r>
    </w:p>
    <w:p w:rsidR="00B70457" w:rsidRPr="00C472A1" w:rsidRDefault="00C472A1" w:rsidP="00623F52">
      <w:pPr>
        <w:jc w:val="center"/>
        <w:rPr>
          <w:rFonts w:ascii="Arial" w:hAnsi="Arial" w:cs="Arial"/>
          <w:sz w:val="20"/>
          <w:szCs w:val="20"/>
        </w:rPr>
      </w:pPr>
      <w:proofErr w:type="spellStart"/>
      <w:r w:rsidRPr="00C472A1">
        <w:rPr>
          <w:rFonts w:ascii="Arial" w:hAnsi="Arial" w:cs="Arial"/>
          <w:sz w:val="20"/>
          <w:szCs w:val="20"/>
        </w:rPr>
        <w:t>ArbG</w:t>
      </w:r>
      <w:proofErr w:type="spellEnd"/>
      <w:r w:rsidRPr="00C472A1">
        <w:rPr>
          <w:rFonts w:ascii="Arial" w:hAnsi="Arial" w:cs="Arial"/>
          <w:sz w:val="20"/>
          <w:szCs w:val="20"/>
        </w:rPr>
        <w:t xml:space="preserve"> Karlsruhe, Urteil vom 18. September 2020, Az. 1 </w:t>
      </w:r>
      <w:proofErr w:type="spellStart"/>
      <w:r w:rsidRPr="00C472A1">
        <w:rPr>
          <w:rFonts w:ascii="Arial" w:hAnsi="Arial" w:cs="Arial"/>
          <w:sz w:val="20"/>
          <w:szCs w:val="20"/>
        </w:rPr>
        <w:t>Ca</w:t>
      </w:r>
      <w:proofErr w:type="spellEnd"/>
      <w:r w:rsidRPr="00C472A1">
        <w:rPr>
          <w:rFonts w:ascii="Arial" w:hAnsi="Arial" w:cs="Arial"/>
          <w:sz w:val="20"/>
          <w:szCs w:val="20"/>
        </w:rPr>
        <w:t xml:space="preserve"> 171/19 </w:t>
      </w:r>
    </w:p>
    <w:p w:rsidR="00C472A1" w:rsidRDefault="00C472A1" w:rsidP="00C472A1">
      <w:pPr>
        <w:jc w:val="both"/>
        <w:rPr>
          <w:rFonts w:ascii="Arial" w:hAnsi="Arial" w:cs="Arial"/>
          <w:sz w:val="20"/>
          <w:szCs w:val="20"/>
        </w:rPr>
      </w:pPr>
    </w:p>
    <w:p w:rsidR="00C472A1" w:rsidRPr="00C472A1" w:rsidRDefault="00C472A1" w:rsidP="00C472A1">
      <w:pPr>
        <w:jc w:val="both"/>
        <w:rPr>
          <w:rFonts w:ascii="Arial" w:hAnsi="Arial" w:cs="Arial"/>
          <w:sz w:val="20"/>
          <w:szCs w:val="20"/>
        </w:rPr>
      </w:pPr>
      <w:r w:rsidRPr="00C472A1">
        <w:rPr>
          <w:rFonts w:ascii="Arial" w:hAnsi="Arial" w:cs="Arial"/>
          <w:sz w:val="20"/>
          <w:szCs w:val="20"/>
        </w:rPr>
        <w:t>1. Die Aufforderung in einer Stellenanzeige, die Konfession anzugeben, ist ein ausreichendes Indiz für eine unterschiedliche Behandlung wegen der Religion gem. § 22 AGG.</w:t>
      </w:r>
    </w:p>
    <w:p w:rsidR="00C472A1" w:rsidRPr="00C472A1" w:rsidRDefault="00C472A1" w:rsidP="00C472A1">
      <w:pPr>
        <w:jc w:val="both"/>
        <w:rPr>
          <w:rFonts w:ascii="Arial" w:hAnsi="Arial" w:cs="Arial"/>
          <w:sz w:val="20"/>
          <w:szCs w:val="20"/>
        </w:rPr>
      </w:pPr>
      <w:r w:rsidRPr="00C472A1">
        <w:rPr>
          <w:rFonts w:ascii="Arial" w:hAnsi="Arial" w:cs="Arial"/>
          <w:sz w:val="20"/>
          <w:szCs w:val="20"/>
        </w:rPr>
        <w:t>2. Die berufliche Anforderung - Angehörigkeit zu einer bestimmten Religionsgemeinschaft - ist nur dann gerechtfertigt, wenn sie angesichts des Ethos der Kirche und der Art der Tätigkeit oder der Umstände ihrer Erbringung eine wesentliche, rechtmäßige und gerechtfertigte berufliche Anforderung darstellt. Die Darlegungs- und Beweislast trägt der/die Arbeitgeber/-in.</w:t>
      </w:r>
    </w:p>
    <w:p w:rsidR="00C472A1" w:rsidRPr="00C472A1" w:rsidRDefault="00C472A1" w:rsidP="00C472A1">
      <w:pPr>
        <w:jc w:val="both"/>
        <w:rPr>
          <w:rFonts w:ascii="Arial" w:hAnsi="Arial" w:cs="Arial"/>
          <w:sz w:val="20"/>
          <w:szCs w:val="20"/>
        </w:rPr>
      </w:pPr>
      <w:r w:rsidRPr="00C472A1">
        <w:rPr>
          <w:rFonts w:ascii="Arial" w:hAnsi="Arial" w:cs="Arial"/>
          <w:sz w:val="20"/>
          <w:szCs w:val="20"/>
        </w:rPr>
        <w:t>3. Die Behauptung, die Auswahlentscheidung sei allein nach dem Prinzip der Bestenauslese getroffen worden, ist nicht geeignet, eine Benachteiligung wegen der Religion zu widerlegen.</w:t>
      </w:r>
    </w:p>
    <w:p w:rsidR="00C472A1" w:rsidRPr="00C472A1" w:rsidRDefault="00C472A1" w:rsidP="00C472A1">
      <w:pPr>
        <w:jc w:val="both"/>
        <w:rPr>
          <w:rFonts w:ascii="Arial" w:hAnsi="Arial" w:cs="Arial"/>
          <w:sz w:val="20"/>
          <w:szCs w:val="20"/>
        </w:rPr>
      </w:pPr>
      <w:r w:rsidRPr="00C472A1">
        <w:rPr>
          <w:rFonts w:ascii="Arial" w:hAnsi="Arial" w:cs="Arial"/>
          <w:sz w:val="20"/>
          <w:szCs w:val="20"/>
        </w:rPr>
        <w:t>4. Allein die Angabe in einem Bewerbungsschreiben "Atheistin" vermag die erforderliche Bereicherungsabsicht dann nicht zu begründen, wenn die Angabe eine andere Erklärung haben kann als nur die Erlangung eines Entschädigungsanspruchs.</w:t>
      </w:r>
    </w:p>
    <w:p w:rsidR="00D6259E" w:rsidRDefault="00D6259E">
      <w:pPr>
        <w:spacing w:after="160" w:line="259" w:lineRule="auto"/>
        <w:rPr>
          <w:rFonts w:ascii="Arial" w:hAnsi="Arial" w:cs="Arial"/>
          <w:sz w:val="20"/>
          <w:szCs w:val="20"/>
        </w:rPr>
      </w:pPr>
      <w:r>
        <w:rPr>
          <w:rFonts w:ascii="Arial" w:hAnsi="Arial" w:cs="Arial"/>
          <w:sz w:val="20"/>
          <w:szCs w:val="20"/>
        </w:rPr>
        <w:br w:type="page"/>
      </w:r>
    </w:p>
    <w:p w:rsidR="00C472A1" w:rsidRPr="00C472A1" w:rsidRDefault="00C472A1" w:rsidP="00C472A1">
      <w:pPr>
        <w:jc w:val="both"/>
        <w:rPr>
          <w:rFonts w:ascii="Arial" w:hAnsi="Arial" w:cs="Arial"/>
          <w:sz w:val="20"/>
          <w:szCs w:val="20"/>
        </w:rPr>
      </w:pPr>
    </w:p>
    <w:p w:rsidR="00C472A1" w:rsidRDefault="00C472A1" w:rsidP="00C472A1">
      <w:pPr>
        <w:jc w:val="center"/>
        <w:rPr>
          <w:rFonts w:ascii="Arial" w:hAnsi="Arial" w:cs="Arial"/>
          <w:b/>
          <w:sz w:val="20"/>
          <w:szCs w:val="20"/>
        </w:rPr>
      </w:pPr>
      <w:r w:rsidRPr="00C472A1">
        <w:rPr>
          <w:rFonts w:ascii="Arial" w:hAnsi="Arial" w:cs="Arial"/>
          <w:b/>
          <w:sz w:val="20"/>
          <w:szCs w:val="20"/>
        </w:rPr>
        <w:t>IV.</w:t>
      </w:r>
    </w:p>
    <w:p w:rsidR="00ED775D" w:rsidRPr="00ED775D" w:rsidRDefault="00ED775D" w:rsidP="00C472A1">
      <w:pPr>
        <w:jc w:val="center"/>
        <w:rPr>
          <w:rFonts w:ascii="Arial" w:hAnsi="Arial" w:cs="Arial"/>
          <w:b/>
          <w:sz w:val="20"/>
          <w:szCs w:val="20"/>
        </w:rPr>
      </w:pPr>
      <w:r w:rsidRPr="00ED775D">
        <w:rPr>
          <w:rFonts w:ascii="Arial" w:hAnsi="Arial" w:cs="Arial"/>
          <w:b/>
          <w:sz w:val="20"/>
          <w:szCs w:val="20"/>
        </w:rPr>
        <w:t>Vorbeschäftigung und Befristung</w:t>
      </w:r>
    </w:p>
    <w:p w:rsidR="00C472A1" w:rsidRDefault="00C472A1" w:rsidP="00C472A1">
      <w:pPr>
        <w:jc w:val="center"/>
        <w:rPr>
          <w:rFonts w:ascii="Arial" w:hAnsi="Arial" w:cs="Arial"/>
          <w:sz w:val="20"/>
          <w:szCs w:val="20"/>
        </w:rPr>
      </w:pPr>
      <w:proofErr w:type="spellStart"/>
      <w:r w:rsidRPr="00C472A1">
        <w:rPr>
          <w:rFonts w:ascii="Arial" w:hAnsi="Arial" w:cs="Arial"/>
          <w:sz w:val="20"/>
          <w:szCs w:val="20"/>
        </w:rPr>
        <w:t>LArbG</w:t>
      </w:r>
      <w:proofErr w:type="spellEnd"/>
      <w:r w:rsidRPr="00C472A1">
        <w:rPr>
          <w:rFonts w:ascii="Arial" w:hAnsi="Arial" w:cs="Arial"/>
          <w:sz w:val="20"/>
          <w:szCs w:val="20"/>
        </w:rPr>
        <w:t xml:space="preserve"> Berlin-Brandenburg, Urteil vom 11. September 2020</w:t>
      </w:r>
      <w:r>
        <w:rPr>
          <w:rFonts w:ascii="Arial" w:hAnsi="Arial" w:cs="Arial"/>
          <w:sz w:val="20"/>
          <w:szCs w:val="20"/>
        </w:rPr>
        <w:t>, Az. 2 Sa 747/20</w:t>
      </w:r>
    </w:p>
    <w:p w:rsidR="00C472A1" w:rsidRDefault="00C472A1" w:rsidP="00C472A1">
      <w:pPr>
        <w:jc w:val="both"/>
        <w:rPr>
          <w:rFonts w:ascii="Arial" w:hAnsi="Arial" w:cs="Arial"/>
          <w:sz w:val="20"/>
          <w:szCs w:val="20"/>
        </w:rPr>
      </w:pPr>
    </w:p>
    <w:p w:rsidR="00C472A1" w:rsidRDefault="00C472A1" w:rsidP="00C472A1">
      <w:pPr>
        <w:jc w:val="both"/>
        <w:rPr>
          <w:rFonts w:ascii="Arial" w:hAnsi="Arial" w:cs="Arial"/>
          <w:sz w:val="20"/>
          <w:szCs w:val="20"/>
        </w:rPr>
      </w:pPr>
      <w:r w:rsidRPr="00C472A1">
        <w:rPr>
          <w:rFonts w:ascii="Arial" w:hAnsi="Arial" w:cs="Arial"/>
          <w:sz w:val="20"/>
          <w:szCs w:val="20"/>
        </w:rPr>
        <w:t xml:space="preserve">Eine fast 17 Jahre und 3 Monate zurückliegende Vorbeschäftigung ist jedenfalls dann als "sehr lang her" </w:t>
      </w:r>
      <w:proofErr w:type="spellStart"/>
      <w:r w:rsidRPr="00C472A1">
        <w:rPr>
          <w:rFonts w:ascii="Arial" w:hAnsi="Arial" w:cs="Arial"/>
          <w:sz w:val="20"/>
          <w:szCs w:val="20"/>
        </w:rPr>
        <w:t>i.S.d</w:t>
      </w:r>
      <w:proofErr w:type="spellEnd"/>
      <w:r w:rsidRPr="00C472A1">
        <w:rPr>
          <w:rFonts w:ascii="Arial" w:hAnsi="Arial" w:cs="Arial"/>
          <w:sz w:val="20"/>
          <w:szCs w:val="20"/>
        </w:rPr>
        <w:t>. Rechtsprechung des Bundesverfassungsgerichts anzurechnen, wenn das Vorbeschäftigungsverhältnis auf Betreiben der Arbeitnehmerin vorzeitig aufgelöst wurde. In einem solchen Fall ist ein Ausnutzen einer strukturellen Unterlegenheit der Arbeitnehmerin durch die Arbeitgeberin nicht zu ersehen.</w:t>
      </w:r>
    </w:p>
    <w:p w:rsidR="00C472A1" w:rsidRDefault="00C472A1" w:rsidP="00C472A1">
      <w:pPr>
        <w:jc w:val="both"/>
        <w:rPr>
          <w:rFonts w:ascii="Arial" w:hAnsi="Arial" w:cs="Arial"/>
          <w:sz w:val="20"/>
          <w:szCs w:val="20"/>
        </w:rPr>
      </w:pPr>
    </w:p>
    <w:p w:rsidR="00C472A1" w:rsidRDefault="00C472A1" w:rsidP="00C472A1">
      <w:pPr>
        <w:jc w:val="center"/>
        <w:rPr>
          <w:rFonts w:ascii="Arial" w:hAnsi="Arial" w:cs="Arial"/>
          <w:b/>
          <w:sz w:val="20"/>
          <w:szCs w:val="20"/>
        </w:rPr>
      </w:pPr>
      <w:r w:rsidRPr="00C472A1">
        <w:rPr>
          <w:rFonts w:ascii="Arial" w:hAnsi="Arial" w:cs="Arial"/>
          <w:b/>
          <w:sz w:val="20"/>
          <w:szCs w:val="20"/>
        </w:rPr>
        <w:t>V.</w:t>
      </w:r>
    </w:p>
    <w:p w:rsidR="00ED775D" w:rsidRPr="00ED775D" w:rsidRDefault="00ED775D" w:rsidP="00C472A1">
      <w:pPr>
        <w:jc w:val="center"/>
        <w:rPr>
          <w:rFonts w:ascii="Arial" w:hAnsi="Arial" w:cs="Arial"/>
          <w:b/>
          <w:sz w:val="20"/>
          <w:szCs w:val="20"/>
        </w:rPr>
      </w:pPr>
      <w:r w:rsidRPr="00ED775D">
        <w:rPr>
          <w:rFonts w:ascii="Arial" w:hAnsi="Arial" w:cs="Arial"/>
          <w:b/>
          <w:sz w:val="20"/>
          <w:szCs w:val="20"/>
        </w:rPr>
        <w:t>Geschäftsführungs- und Vertretungsbefugnis des geschäftsführenden Gesellschafters</w:t>
      </w:r>
    </w:p>
    <w:p w:rsidR="00C472A1" w:rsidRPr="00C472A1" w:rsidRDefault="00C472A1" w:rsidP="00C472A1">
      <w:pPr>
        <w:jc w:val="center"/>
        <w:rPr>
          <w:rFonts w:ascii="Arial" w:hAnsi="Arial" w:cs="Arial"/>
          <w:sz w:val="20"/>
          <w:szCs w:val="20"/>
        </w:rPr>
      </w:pPr>
      <w:r w:rsidRPr="00C472A1">
        <w:rPr>
          <w:rFonts w:ascii="Arial" w:hAnsi="Arial" w:cs="Arial"/>
          <w:sz w:val="20"/>
          <w:szCs w:val="20"/>
        </w:rPr>
        <w:t>BGH, Urteil vom 13. Oktober 2020</w:t>
      </w:r>
      <w:r>
        <w:rPr>
          <w:rFonts w:ascii="Arial" w:hAnsi="Arial" w:cs="Arial"/>
          <w:sz w:val="20"/>
          <w:szCs w:val="20"/>
        </w:rPr>
        <w:t>, Az. II ZR 359/18</w:t>
      </w:r>
    </w:p>
    <w:p w:rsidR="00C472A1" w:rsidRDefault="00C472A1" w:rsidP="00C472A1">
      <w:pPr>
        <w:jc w:val="both"/>
        <w:rPr>
          <w:rFonts w:ascii="Arial" w:hAnsi="Arial" w:cs="Arial"/>
          <w:sz w:val="20"/>
          <w:szCs w:val="20"/>
        </w:rPr>
      </w:pPr>
    </w:p>
    <w:p w:rsidR="00C472A1" w:rsidRPr="00C472A1" w:rsidRDefault="00C472A1" w:rsidP="00C472A1">
      <w:pPr>
        <w:jc w:val="both"/>
        <w:rPr>
          <w:rFonts w:ascii="Arial" w:hAnsi="Arial" w:cs="Arial"/>
          <w:sz w:val="20"/>
          <w:szCs w:val="20"/>
        </w:rPr>
      </w:pPr>
      <w:r w:rsidRPr="00C472A1">
        <w:rPr>
          <w:rFonts w:ascii="Arial" w:hAnsi="Arial" w:cs="Arial"/>
          <w:sz w:val="20"/>
          <w:szCs w:val="20"/>
        </w:rPr>
        <w:t xml:space="preserve">1. Die Geschäftsführungs- und Vertretungsbefugnis des geschäftsführenden Gesellschafters einer Kommanditgesellschaft ist ein relativ </w:t>
      </w:r>
      <w:proofErr w:type="spellStart"/>
      <w:r w:rsidRPr="00C472A1">
        <w:rPr>
          <w:rFonts w:ascii="Arial" w:hAnsi="Arial" w:cs="Arial"/>
          <w:sz w:val="20"/>
          <w:szCs w:val="20"/>
        </w:rPr>
        <w:t>unentziehbares</w:t>
      </w:r>
      <w:proofErr w:type="spellEnd"/>
      <w:r w:rsidRPr="00C472A1">
        <w:rPr>
          <w:rFonts w:ascii="Arial" w:hAnsi="Arial" w:cs="Arial"/>
          <w:sz w:val="20"/>
          <w:szCs w:val="20"/>
        </w:rPr>
        <w:t xml:space="preserve"> Recht.</w:t>
      </w:r>
    </w:p>
    <w:p w:rsidR="00C472A1" w:rsidRDefault="00C472A1" w:rsidP="00C472A1">
      <w:pPr>
        <w:jc w:val="both"/>
        <w:rPr>
          <w:rFonts w:ascii="Arial" w:hAnsi="Arial" w:cs="Arial"/>
          <w:sz w:val="20"/>
          <w:szCs w:val="20"/>
        </w:rPr>
      </w:pPr>
      <w:r w:rsidRPr="00C472A1">
        <w:rPr>
          <w:rFonts w:ascii="Arial" w:hAnsi="Arial" w:cs="Arial"/>
          <w:sz w:val="20"/>
          <w:szCs w:val="20"/>
        </w:rPr>
        <w:t xml:space="preserve">2. Der Eingriff in ein relativ </w:t>
      </w:r>
      <w:proofErr w:type="spellStart"/>
      <w:r w:rsidRPr="00C472A1">
        <w:rPr>
          <w:rFonts w:ascii="Arial" w:hAnsi="Arial" w:cs="Arial"/>
          <w:sz w:val="20"/>
          <w:szCs w:val="20"/>
        </w:rPr>
        <w:t>unentziehbares</w:t>
      </w:r>
      <w:proofErr w:type="spellEnd"/>
      <w:r w:rsidRPr="00C472A1">
        <w:rPr>
          <w:rFonts w:ascii="Arial" w:hAnsi="Arial" w:cs="Arial"/>
          <w:sz w:val="20"/>
          <w:szCs w:val="20"/>
        </w:rPr>
        <w:t xml:space="preserve"> Recht ist rechtmäßig, wenn dies im Interesse der Gesellschaft geboten und für den betroffenen Gesellschafter unter Berücksichtigung der eigenen schutzwürdigen Belange zumutbar ist oder er dem Eingriff zugestimmt hat. Dass eine Entziehung der Geschäftsführungs- und Vertretungsbefugnis im Interesse der Gesellschaft liegt, erfüllt diese Voraussetzungen nicht.</w:t>
      </w:r>
    </w:p>
    <w:p w:rsidR="00C472A1" w:rsidRDefault="00C472A1" w:rsidP="00C472A1">
      <w:pPr>
        <w:jc w:val="both"/>
        <w:rPr>
          <w:rFonts w:ascii="Arial" w:hAnsi="Arial" w:cs="Arial"/>
          <w:sz w:val="20"/>
          <w:szCs w:val="20"/>
        </w:rPr>
      </w:pPr>
    </w:p>
    <w:p w:rsidR="00C472A1" w:rsidRDefault="00C472A1" w:rsidP="00C472A1">
      <w:pPr>
        <w:jc w:val="center"/>
        <w:rPr>
          <w:rFonts w:ascii="Arial" w:hAnsi="Arial" w:cs="Arial"/>
          <w:b/>
          <w:sz w:val="20"/>
          <w:szCs w:val="20"/>
        </w:rPr>
      </w:pPr>
      <w:r w:rsidRPr="00C472A1">
        <w:rPr>
          <w:rFonts w:ascii="Arial" w:hAnsi="Arial" w:cs="Arial"/>
          <w:b/>
          <w:sz w:val="20"/>
          <w:szCs w:val="20"/>
        </w:rPr>
        <w:t>VI.</w:t>
      </w:r>
    </w:p>
    <w:p w:rsidR="00C472A1" w:rsidRDefault="00ED775D" w:rsidP="00C472A1">
      <w:pPr>
        <w:jc w:val="center"/>
        <w:rPr>
          <w:rFonts w:ascii="Arial" w:hAnsi="Arial" w:cs="Arial"/>
          <w:b/>
          <w:sz w:val="20"/>
          <w:szCs w:val="20"/>
        </w:rPr>
      </w:pPr>
      <w:r>
        <w:rPr>
          <w:rFonts w:ascii="Arial" w:hAnsi="Arial" w:cs="Arial"/>
          <w:b/>
          <w:sz w:val="20"/>
          <w:szCs w:val="20"/>
        </w:rPr>
        <w:t>Preisabrede und Vorkaufsrecht im Wohnungskaufvertrag</w:t>
      </w:r>
    </w:p>
    <w:p w:rsidR="00C472A1" w:rsidRPr="00C472A1" w:rsidRDefault="00C472A1" w:rsidP="00C472A1">
      <w:pPr>
        <w:jc w:val="center"/>
        <w:rPr>
          <w:rFonts w:ascii="Arial" w:hAnsi="Arial" w:cs="Arial"/>
          <w:sz w:val="20"/>
          <w:szCs w:val="20"/>
        </w:rPr>
      </w:pPr>
      <w:r w:rsidRPr="00C472A1">
        <w:rPr>
          <w:rFonts w:ascii="Arial" w:hAnsi="Arial" w:cs="Arial"/>
          <w:sz w:val="20"/>
          <w:szCs w:val="20"/>
        </w:rPr>
        <w:t>KG Berlin, Urteil vom 02. Oktober 2020</w:t>
      </w:r>
      <w:r>
        <w:rPr>
          <w:rFonts w:ascii="Arial" w:hAnsi="Arial" w:cs="Arial"/>
          <w:sz w:val="20"/>
          <w:szCs w:val="20"/>
        </w:rPr>
        <w:t>, Az.</w:t>
      </w:r>
      <w:r w:rsidRPr="00C472A1">
        <w:rPr>
          <w:rFonts w:ascii="Arial" w:hAnsi="Arial" w:cs="Arial"/>
          <w:sz w:val="20"/>
          <w:szCs w:val="20"/>
        </w:rPr>
        <w:t xml:space="preserve"> 17 U 18/18</w:t>
      </w:r>
    </w:p>
    <w:p w:rsidR="00C472A1" w:rsidRDefault="00C472A1" w:rsidP="00C472A1">
      <w:pPr>
        <w:jc w:val="both"/>
        <w:rPr>
          <w:rFonts w:ascii="Arial" w:hAnsi="Arial" w:cs="Arial"/>
          <w:sz w:val="20"/>
          <w:szCs w:val="20"/>
        </w:rPr>
      </w:pPr>
    </w:p>
    <w:p w:rsidR="00C472A1" w:rsidRDefault="00C472A1" w:rsidP="00C472A1">
      <w:pPr>
        <w:jc w:val="both"/>
        <w:rPr>
          <w:rFonts w:ascii="Arial" w:hAnsi="Arial" w:cs="Arial"/>
          <w:sz w:val="20"/>
          <w:szCs w:val="20"/>
        </w:rPr>
      </w:pPr>
      <w:r w:rsidRPr="00C472A1">
        <w:rPr>
          <w:rFonts w:ascii="Arial" w:hAnsi="Arial" w:cs="Arial"/>
          <w:sz w:val="20"/>
          <w:szCs w:val="20"/>
        </w:rPr>
        <w:t>Eine differenzierte Preisabrede, die eine Preiserhöhung von der Ausübung des Vorkaufsrechts bzw. abstrakt vom Erlöschen mietvertraglicher Bindungen abhängig macht, ist im Verhältnis zum vorkaufsberechtigten Mieter unwirksam.</w:t>
      </w:r>
    </w:p>
    <w:p w:rsidR="00C472A1" w:rsidRDefault="00C472A1" w:rsidP="00C472A1">
      <w:pPr>
        <w:jc w:val="both"/>
        <w:rPr>
          <w:rFonts w:ascii="Arial" w:hAnsi="Arial" w:cs="Arial"/>
          <w:sz w:val="20"/>
          <w:szCs w:val="20"/>
        </w:rPr>
      </w:pPr>
    </w:p>
    <w:p w:rsidR="00C472A1" w:rsidRDefault="00C472A1" w:rsidP="00C472A1">
      <w:pPr>
        <w:jc w:val="center"/>
        <w:rPr>
          <w:rFonts w:ascii="Arial" w:hAnsi="Arial" w:cs="Arial"/>
          <w:b/>
          <w:sz w:val="20"/>
          <w:szCs w:val="20"/>
        </w:rPr>
      </w:pPr>
      <w:r w:rsidRPr="00C472A1">
        <w:rPr>
          <w:rFonts w:ascii="Arial" w:hAnsi="Arial" w:cs="Arial"/>
          <w:b/>
          <w:sz w:val="20"/>
          <w:szCs w:val="20"/>
        </w:rPr>
        <w:t>VII.</w:t>
      </w:r>
    </w:p>
    <w:p w:rsidR="00C472A1" w:rsidRPr="00ED775D" w:rsidRDefault="00ED775D" w:rsidP="00C472A1">
      <w:pPr>
        <w:jc w:val="center"/>
        <w:rPr>
          <w:rFonts w:ascii="Arial" w:hAnsi="Arial" w:cs="Arial"/>
          <w:b/>
          <w:sz w:val="20"/>
          <w:szCs w:val="20"/>
        </w:rPr>
      </w:pPr>
      <w:r w:rsidRPr="00ED775D">
        <w:rPr>
          <w:rFonts w:ascii="Arial" w:hAnsi="Arial" w:cs="Arial"/>
          <w:b/>
          <w:sz w:val="20"/>
          <w:szCs w:val="20"/>
        </w:rPr>
        <w:t xml:space="preserve">verfrüht ausgesprochene Modernisierungsankündigung </w:t>
      </w:r>
    </w:p>
    <w:p w:rsidR="00C472A1" w:rsidRPr="00C472A1" w:rsidRDefault="00C472A1" w:rsidP="00C472A1">
      <w:pPr>
        <w:jc w:val="center"/>
        <w:rPr>
          <w:rFonts w:ascii="Arial" w:hAnsi="Arial" w:cs="Arial"/>
          <w:sz w:val="20"/>
          <w:szCs w:val="20"/>
        </w:rPr>
      </w:pPr>
      <w:r w:rsidRPr="00C472A1">
        <w:rPr>
          <w:rFonts w:ascii="Arial" w:hAnsi="Arial" w:cs="Arial"/>
          <w:sz w:val="20"/>
          <w:szCs w:val="20"/>
        </w:rPr>
        <w:t>LG Berlin, Beschluss vom 01. September 2020</w:t>
      </w:r>
      <w:r>
        <w:rPr>
          <w:rFonts w:ascii="Arial" w:hAnsi="Arial" w:cs="Arial"/>
          <w:sz w:val="20"/>
          <w:szCs w:val="20"/>
        </w:rPr>
        <w:t>, Az.</w:t>
      </w:r>
      <w:r w:rsidRPr="00C472A1">
        <w:rPr>
          <w:rFonts w:ascii="Arial" w:hAnsi="Arial" w:cs="Arial"/>
          <w:sz w:val="20"/>
          <w:szCs w:val="20"/>
        </w:rPr>
        <w:t xml:space="preserve"> 67 S 108/20</w:t>
      </w:r>
    </w:p>
    <w:p w:rsidR="00C472A1" w:rsidRDefault="00C472A1" w:rsidP="00C472A1">
      <w:pPr>
        <w:jc w:val="both"/>
        <w:rPr>
          <w:rFonts w:ascii="Arial" w:hAnsi="Arial" w:cs="Arial"/>
          <w:sz w:val="20"/>
          <w:szCs w:val="20"/>
        </w:rPr>
      </w:pPr>
    </w:p>
    <w:p w:rsidR="00C472A1" w:rsidRPr="00C472A1" w:rsidRDefault="00C472A1" w:rsidP="00C472A1">
      <w:pPr>
        <w:jc w:val="both"/>
        <w:rPr>
          <w:rFonts w:ascii="Arial" w:hAnsi="Arial" w:cs="Arial"/>
          <w:sz w:val="20"/>
          <w:szCs w:val="20"/>
        </w:rPr>
      </w:pPr>
      <w:r w:rsidRPr="00C472A1">
        <w:rPr>
          <w:rFonts w:ascii="Arial" w:hAnsi="Arial" w:cs="Arial"/>
          <w:sz w:val="20"/>
          <w:szCs w:val="20"/>
        </w:rPr>
        <w:t>Eine weit verfrüht ausgesprochene Modernisierungsankündigung ist rechtsmissbräuchlich. Der Vermieter kann aus ihr keine Duldungsansprüche gegenüber dem Mieter herleiten (hier: Ankündigung 16 Monate vor Beginn der am Mietobjekt beabsichtigten Maßnahmen).</w:t>
      </w:r>
    </w:p>
    <w:p w:rsidR="00C472A1" w:rsidRDefault="00C472A1" w:rsidP="00C472A1">
      <w:pPr>
        <w:jc w:val="both"/>
        <w:rPr>
          <w:rFonts w:ascii="Arial" w:hAnsi="Arial" w:cs="Arial"/>
          <w:sz w:val="20"/>
          <w:szCs w:val="20"/>
        </w:rPr>
      </w:pPr>
    </w:p>
    <w:p w:rsidR="00C472A1" w:rsidRDefault="00C472A1" w:rsidP="00C472A1">
      <w:pPr>
        <w:jc w:val="center"/>
        <w:rPr>
          <w:rFonts w:ascii="Arial" w:hAnsi="Arial" w:cs="Arial"/>
          <w:b/>
          <w:sz w:val="20"/>
          <w:szCs w:val="20"/>
        </w:rPr>
      </w:pPr>
      <w:r w:rsidRPr="00C472A1">
        <w:rPr>
          <w:rFonts w:ascii="Arial" w:hAnsi="Arial" w:cs="Arial"/>
          <w:b/>
          <w:sz w:val="20"/>
          <w:szCs w:val="20"/>
        </w:rPr>
        <w:t>VIII.</w:t>
      </w:r>
    </w:p>
    <w:p w:rsidR="00C472A1" w:rsidRDefault="00ED775D" w:rsidP="00C472A1">
      <w:pPr>
        <w:jc w:val="center"/>
        <w:rPr>
          <w:rFonts w:ascii="Arial" w:hAnsi="Arial" w:cs="Arial"/>
          <w:b/>
          <w:sz w:val="20"/>
          <w:szCs w:val="20"/>
        </w:rPr>
      </w:pPr>
      <w:r>
        <w:rPr>
          <w:rFonts w:ascii="Arial" w:hAnsi="Arial" w:cs="Arial"/>
          <w:b/>
          <w:sz w:val="20"/>
          <w:szCs w:val="20"/>
        </w:rPr>
        <w:t>Erbschaftsteuerfreibetrag für Ur</w:t>
      </w:r>
      <w:bookmarkStart w:id="2" w:name="_GoBack"/>
      <w:bookmarkEnd w:id="2"/>
      <w:r>
        <w:rPr>
          <w:rFonts w:ascii="Arial" w:hAnsi="Arial" w:cs="Arial"/>
          <w:b/>
          <w:sz w:val="20"/>
          <w:szCs w:val="20"/>
        </w:rPr>
        <w:t>enkel</w:t>
      </w:r>
    </w:p>
    <w:p w:rsidR="00C472A1" w:rsidRPr="00C472A1" w:rsidRDefault="00C472A1" w:rsidP="00C472A1">
      <w:pPr>
        <w:ind w:left="567"/>
        <w:jc w:val="center"/>
        <w:rPr>
          <w:rFonts w:ascii="Arial" w:hAnsi="Arial" w:cs="Arial"/>
          <w:bCs/>
          <w:sz w:val="20"/>
          <w:szCs w:val="20"/>
        </w:rPr>
      </w:pPr>
      <w:r w:rsidRPr="00C472A1">
        <w:rPr>
          <w:rFonts w:ascii="Arial" w:hAnsi="Arial" w:cs="Arial"/>
          <w:bCs/>
          <w:sz w:val="20"/>
          <w:szCs w:val="20"/>
        </w:rPr>
        <w:t>BFH, Beschluss vom 27.07.2020, Az. II B 39/20 (</w:t>
      </w:r>
      <w:proofErr w:type="spellStart"/>
      <w:r w:rsidRPr="00C472A1">
        <w:rPr>
          <w:rFonts w:ascii="Arial" w:hAnsi="Arial" w:cs="Arial"/>
          <w:bCs/>
          <w:sz w:val="20"/>
          <w:szCs w:val="20"/>
        </w:rPr>
        <w:t>AdV</w:t>
      </w:r>
      <w:proofErr w:type="spellEnd"/>
      <w:r w:rsidRPr="00C472A1">
        <w:rPr>
          <w:rFonts w:ascii="Arial" w:hAnsi="Arial" w:cs="Arial"/>
          <w:bCs/>
          <w:sz w:val="20"/>
          <w:szCs w:val="20"/>
        </w:rPr>
        <w:t>)</w:t>
      </w:r>
    </w:p>
    <w:p w:rsidR="00C472A1" w:rsidRPr="00C472A1" w:rsidRDefault="00C472A1" w:rsidP="00C472A1">
      <w:pPr>
        <w:jc w:val="both"/>
        <w:rPr>
          <w:rFonts w:ascii="Arial" w:hAnsi="Arial" w:cs="Arial"/>
          <w:sz w:val="20"/>
          <w:szCs w:val="20"/>
        </w:rPr>
      </w:pPr>
    </w:p>
    <w:p w:rsidR="00C472A1" w:rsidRPr="00C472A1" w:rsidRDefault="00C472A1" w:rsidP="00C472A1">
      <w:pPr>
        <w:jc w:val="both"/>
        <w:rPr>
          <w:rFonts w:ascii="Arial" w:hAnsi="Arial" w:cs="Arial"/>
          <w:sz w:val="20"/>
          <w:szCs w:val="20"/>
        </w:rPr>
      </w:pPr>
      <w:r w:rsidRPr="00C472A1">
        <w:rPr>
          <w:rFonts w:ascii="Arial" w:hAnsi="Arial" w:cs="Arial"/>
          <w:sz w:val="20"/>
          <w:szCs w:val="20"/>
        </w:rPr>
        <w:t>Urenkeln steht jedenfalls dann lediglich der Freibetrag in Höhe von 100.000 € nach § 16 Abs. 1 Nr. 4 ErbStG zu, wenn Eltern und Großeltern noch nicht vorverstorben sind.</w:t>
      </w:r>
    </w:p>
    <w:p w:rsidR="00C472A1" w:rsidRDefault="00C472A1" w:rsidP="00C472A1">
      <w:pPr>
        <w:jc w:val="both"/>
        <w:rPr>
          <w:rFonts w:ascii="Arial" w:hAnsi="Arial" w:cs="Arial"/>
          <w:sz w:val="20"/>
          <w:szCs w:val="20"/>
        </w:rPr>
      </w:pPr>
    </w:p>
    <w:p w:rsidR="00C472A1" w:rsidRDefault="00C472A1" w:rsidP="00C472A1">
      <w:pPr>
        <w:jc w:val="center"/>
        <w:rPr>
          <w:rFonts w:ascii="Arial" w:hAnsi="Arial" w:cs="Arial"/>
          <w:b/>
          <w:sz w:val="20"/>
          <w:szCs w:val="20"/>
        </w:rPr>
      </w:pPr>
      <w:r w:rsidRPr="00C472A1">
        <w:rPr>
          <w:rFonts w:ascii="Arial" w:hAnsi="Arial" w:cs="Arial"/>
          <w:b/>
          <w:sz w:val="20"/>
          <w:szCs w:val="20"/>
        </w:rPr>
        <w:t>IX.</w:t>
      </w:r>
    </w:p>
    <w:p w:rsidR="00C472A1" w:rsidRDefault="00ED775D" w:rsidP="00C472A1">
      <w:pPr>
        <w:jc w:val="center"/>
        <w:rPr>
          <w:rFonts w:ascii="Arial" w:hAnsi="Arial" w:cs="Arial"/>
          <w:b/>
          <w:sz w:val="20"/>
          <w:szCs w:val="20"/>
        </w:rPr>
      </w:pPr>
      <w:r>
        <w:rPr>
          <w:rFonts w:ascii="Arial" w:hAnsi="Arial" w:cs="Arial"/>
          <w:b/>
          <w:sz w:val="20"/>
          <w:szCs w:val="20"/>
        </w:rPr>
        <w:t>Verjährung Anspruch auf Herausgabe Handakten</w:t>
      </w:r>
    </w:p>
    <w:p w:rsidR="00C472A1" w:rsidRDefault="00C472A1" w:rsidP="00C472A1">
      <w:pPr>
        <w:jc w:val="center"/>
        <w:rPr>
          <w:rFonts w:ascii="Arial" w:hAnsi="Arial" w:cs="Arial"/>
          <w:sz w:val="20"/>
          <w:szCs w:val="20"/>
        </w:rPr>
      </w:pPr>
      <w:r w:rsidRPr="00C472A1">
        <w:rPr>
          <w:rFonts w:ascii="Arial" w:hAnsi="Arial" w:cs="Arial"/>
          <w:sz w:val="20"/>
          <w:szCs w:val="20"/>
        </w:rPr>
        <w:t>BGH, Urteil vom 15. Oktober 2020</w:t>
      </w:r>
      <w:r>
        <w:rPr>
          <w:rFonts w:ascii="Arial" w:hAnsi="Arial" w:cs="Arial"/>
          <w:sz w:val="20"/>
          <w:szCs w:val="20"/>
        </w:rPr>
        <w:t>, Az. IX ZR 243/19</w:t>
      </w:r>
    </w:p>
    <w:p w:rsidR="00C472A1" w:rsidRDefault="00C472A1" w:rsidP="00C472A1">
      <w:pPr>
        <w:jc w:val="both"/>
        <w:rPr>
          <w:rFonts w:ascii="Arial" w:hAnsi="Arial" w:cs="Arial"/>
          <w:sz w:val="20"/>
          <w:szCs w:val="20"/>
        </w:rPr>
      </w:pPr>
    </w:p>
    <w:p w:rsidR="00C472A1" w:rsidRPr="00C472A1" w:rsidRDefault="00C472A1" w:rsidP="00C472A1">
      <w:pPr>
        <w:jc w:val="both"/>
        <w:rPr>
          <w:rFonts w:ascii="Arial" w:hAnsi="Arial" w:cs="Arial"/>
          <w:sz w:val="20"/>
          <w:szCs w:val="20"/>
        </w:rPr>
      </w:pPr>
      <w:r w:rsidRPr="00C472A1">
        <w:rPr>
          <w:rFonts w:ascii="Arial" w:hAnsi="Arial" w:cs="Arial"/>
          <w:sz w:val="20"/>
          <w:szCs w:val="20"/>
        </w:rPr>
        <w:t>Der Anspruch des Mandanten auf Herausgabe der Handakten verjährt nach den bürgerlich-rechtlichen Vorschriften. Die berufsrechtlichen Bestimmungen über die Länge der Aufbewahrungsfrist haben keinen Einfluss auf den Lauf der Verjährung.</w:t>
      </w:r>
    </w:p>
    <w:p w:rsidR="00C472A1" w:rsidRPr="00C472A1" w:rsidRDefault="00C472A1" w:rsidP="00C472A1">
      <w:pPr>
        <w:jc w:val="both"/>
        <w:rPr>
          <w:rFonts w:ascii="Arial" w:hAnsi="Arial" w:cs="Arial"/>
          <w:sz w:val="20"/>
          <w:szCs w:val="20"/>
        </w:rPr>
      </w:pPr>
    </w:p>
    <w:p w:rsidR="00B70457" w:rsidRDefault="00D6259E" w:rsidP="00D6259E">
      <w:pPr>
        <w:jc w:val="center"/>
        <w:rPr>
          <w:rFonts w:ascii="Arial" w:hAnsi="Arial" w:cs="Arial"/>
          <w:b/>
          <w:sz w:val="20"/>
          <w:szCs w:val="20"/>
        </w:rPr>
      </w:pPr>
      <w:r w:rsidRPr="00D6259E">
        <w:rPr>
          <w:rFonts w:ascii="Arial" w:hAnsi="Arial" w:cs="Arial"/>
          <w:b/>
          <w:sz w:val="20"/>
          <w:szCs w:val="20"/>
        </w:rPr>
        <w:t>X.</w:t>
      </w:r>
    </w:p>
    <w:p w:rsidR="00F27934" w:rsidRPr="00F27934" w:rsidRDefault="00F27934" w:rsidP="00F27934">
      <w:pPr>
        <w:jc w:val="center"/>
        <w:rPr>
          <w:rFonts w:ascii="Arial" w:hAnsi="Arial" w:cs="Arial"/>
          <w:b/>
          <w:sz w:val="20"/>
          <w:szCs w:val="20"/>
        </w:rPr>
      </w:pPr>
      <w:r w:rsidRPr="00F27934">
        <w:rPr>
          <w:rFonts w:ascii="Arial" w:hAnsi="Arial" w:cs="Arial"/>
          <w:b/>
          <w:sz w:val="20"/>
          <w:szCs w:val="20"/>
        </w:rPr>
        <w:t>Restliche Vergütungsansprüche - gesetzlicher Mindestlohn - Zuständigkeit - Gericht</w:t>
      </w:r>
    </w:p>
    <w:p w:rsidR="00F27934" w:rsidRDefault="00F27934" w:rsidP="00F27934">
      <w:pPr>
        <w:jc w:val="center"/>
        <w:rPr>
          <w:rFonts w:ascii="Arial" w:hAnsi="Arial" w:cs="Arial"/>
          <w:sz w:val="20"/>
          <w:szCs w:val="20"/>
        </w:rPr>
      </w:pPr>
      <w:r w:rsidRPr="00F27934">
        <w:rPr>
          <w:rFonts w:ascii="Arial" w:hAnsi="Arial" w:cs="Arial"/>
          <w:sz w:val="20"/>
          <w:szCs w:val="20"/>
        </w:rPr>
        <w:t>Landesarbeitsgericht Köln, Beschluss vom 30. September 2020</w:t>
      </w:r>
      <w:r>
        <w:rPr>
          <w:rFonts w:ascii="Arial" w:hAnsi="Arial" w:cs="Arial"/>
          <w:sz w:val="20"/>
          <w:szCs w:val="20"/>
        </w:rPr>
        <w:t>, Az.</w:t>
      </w:r>
      <w:r w:rsidRPr="00F27934">
        <w:rPr>
          <w:rFonts w:ascii="Arial" w:hAnsi="Arial" w:cs="Arial"/>
          <w:sz w:val="20"/>
          <w:szCs w:val="20"/>
        </w:rPr>
        <w:t xml:space="preserve"> 9 </w:t>
      </w:r>
      <w:proofErr w:type="spellStart"/>
      <w:r w:rsidRPr="00F27934">
        <w:rPr>
          <w:rFonts w:ascii="Arial" w:hAnsi="Arial" w:cs="Arial"/>
          <w:sz w:val="20"/>
          <w:szCs w:val="20"/>
        </w:rPr>
        <w:t>Ta</w:t>
      </w:r>
      <w:proofErr w:type="spellEnd"/>
      <w:r w:rsidRPr="00F27934">
        <w:rPr>
          <w:rFonts w:ascii="Arial" w:hAnsi="Arial" w:cs="Arial"/>
          <w:sz w:val="20"/>
          <w:szCs w:val="20"/>
        </w:rPr>
        <w:t xml:space="preserve"> 117/20</w:t>
      </w:r>
    </w:p>
    <w:p w:rsidR="00F27934" w:rsidRDefault="00F27934" w:rsidP="00F27934">
      <w:pPr>
        <w:jc w:val="both"/>
        <w:rPr>
          <w:rFonts w:ascii="Arial" w:hAnsi="Arial" w:cs="Arial"/>
          <w:sz w:val="20"/>
          <w:szCs w:val="20"/>
        </w:rPr>
      </w:pPr>
    </w:p>
    <w:p w:rsidR="00F27934" w:rsidRPr="00F27934" w:rsidRDefault="00F27934" w:rsidP="00F27934">
      <w:pPr>
        <w:jc w:val="both"/>
        <w:rPr>
          <w:rFonts w:ascii="Arial" w:hAnsi="Arial" w:cs="Arial"/>
          <w:sz w:val="20"/>
          <w:szCs w:val="20"/>
        </w:rPr>
      </w:pPr>
      <w:r w:rsidRPr="00F27934">
        <w:rPr>
          <w:rFonts w:ascii="Arial" w:hAnsi="Arial" w:cs="Arial"/>
          <w:sz w:val="20"/>
          <w:szCs w:val="20"/>
        </w:rPr>
        <w:t xml:space="preserve">Für eine Klage, die auf die Differenz zwischen einer vertraglich vereinbarten Vergütung und dem sie übersteigenden gesetzlichen Mindestlohn gerichtet ist, sind die Gerichte für Arbeitssachen auch dann zuständig, wenn ein Landgericht das Vertragsverhältnis der Parteien in einem vorangegangenen Rechtsstreit der Parteien in einem Urteil als freies Dienstverhältnis qualifiziert und eine </w:t>
      </w:r>
      <w:r w:rsidRPr="00F27934">
        <w:rPr>
          <w:rFonts w:ascii="Arial" w:hAnsi="Arial" w:cs="Arial"/>
          <w:sz w:val="20"/>
          <w:szCs w:val="20"/>
        </w:rPr>
        <w:lastRenderedPageBreak/>
        <w:t xml:space="preserve">Arbeitnehmereigenschaft des Klägers ausdrücklich verneint hat. Denn es handelt sich bei der Differenzklage um einen sog. Sic-non-Fall, bei dem die bloße Rechtsansicht des Klägers, es </w:t>
      </w:r>
      <w:proofErr w:type="gramStart"/>
      <w:r w:rsidRPr="00F27934">
        <w:rPr>
          <w:rFonts w:ascii="Arial" w:hAnsi="Arial" w:cs="Arial"/>
          <w:sz w:val="20"/>
          <w:szCs w:val="20"/>
        </w:rPr>
        <w:t>handele</w:t>
      </w:r>
      <w:proofErr w:type="gramEnd"/>
      <w:r w:rsidRPr="00F27934">
        <w:rPr>
          <w:rFonts w:ascii="Arial" w:hAnsi="Arial" w:cs="Arial"/>
          <w:sz w:val="20"/>
          <w:szCs w:val="20"/>
        </w:rPr>
        <w:t xml:space="preserve"> sich um ein Arbeitsverhältnis, den Rechtsweg zu den Arbeitsgerichten eröffnet.</w:t>
      </w:r>
    </w:p>
    <w:p w:rsidR="00F27934" w:rsidRDefault="00F27934" w:rsidP="00F27934">
      <w:pPr>
        <w:jc w:val="both"/>
        <w:rPr>
          <w:rFonts w:ascii="Arial" w:hAnsi="Arial" w:cs="Arial"/>
          <w:sz w:val="20"/>
          <w:szCs w:val="20"/>
        </w:rPr>
      </w:pPr>
    </w:p>
    <w:p w:rsidR="00F27934" w:rsidRDefault="00F27934" w:rsidP="00F27934">
      <w:pPr>
        <w:jc w:val="both"/>
        <w:rPr>
          <w:rFonts w:ascii="Arial" w:hAnsi="Arial" w:cs="Arial"/>
          <w:sz w:val="20"/>
          <w:szCs w:val="20"/>
        </w:rPr>
      </w:pPr>
    </w:p>
    <w:p w:rsidR="00F27934" w:rsidRPr="00F27934" w:rsidRDefault="00F27934" w:rsidP="00F27934">
      <w:pPr>
        <w:jc w:val="both"/>
        <w:rPr>
          <w:rFonts w:ascii="Arial" w:hAnsi="Arial" w:cs="Arial"/>
          <w:sz w:val="20"/>
          <w:szCs w:val="20"/>
        </w:rPr>
      </w:pPr>
    </w:p>
    <w:p w:rsidR="008B5115" w:rsidRPr="00C472A1" w:rsidRDefault="008B5115" w:rsidP="00C472A1">
      <w:pPr>
        <w:jc w:val="both"/>
        <w:rPr>
          <w:rFonts w:ascii="Arial" w:hAnsi="Arial" w:cs="Arial"/>
          <w:sz w:val="20"/>
          <w:szCs w:val="20"/>
        </w:rPr>
      </w:pPr>
    </w:p>
    <w:p w:rsidR="00D6259E" w:rsidRPr="00D6259E" w:rsidRDefault="00D6259E" w:rsidP="00D6259E">
      <w:pPr>
        <w:jc w:val="both"/>
        <w:rPr>
          <w:rFonts w:ascii="Arial" w:hAnsi="Arial" w:cs="Arial"/>
          <w:sz w:val="20"/>
          <w:szCs w:val="20"/>
        </w:rPr>
      </w:pPr>
      <w:r w:rsidRPr="00D6259E">
        <w:rPr>
          <w:rFonts w:ascii="Arial" w:hAnsi="Arial" w:cs="Arial"/>
          <w:sz w:val="20"/>
          <w:szCs w:val="20"/>
        </w:rPr>
        <w:t>Für Rückfragen stehe ich Ihnen gerne zur Verfügung.</w:t>
      </w:r>
    </w:p>
    <w:p w:rsidR="00D6259E" w:rsidRPr="00D6259E" w:rsidRDefault="00D6259E" w:rsidP="00D6259E">
      <w:pPr>
        <w:jc w:val="both"/>
        <w:rPr>
          <w:rFonts w:ascii="Arial" w:hAnsi="Arial" w:cs="Arial"/>
          <w:sz w:val="20"/>
          <w:szCs w:val="20"/>
        </w:rPr>
      </w:pPr>
    </w:p>
    <w:p w:rsidR="00D6259E" w:rsidRPr="00D6259E" w:rsidRDefault="00D6259E" w:rsidP="00D6259E">
      <w:pPr>
        <w:jc w:val="both"/>
        <w:rPr>
          <w:rFonts w:ascii="Arial" w:hAnsi="Arial" w:cs="Arial"/>
          <w:sz w:val="18"/>
          <w:szCs w:val="18"/>
        </w:rPr>
      </w:pPr>
      <w:r w:rsidRPr="00D6259E">
        <w:rPr>
          <w:rFonts w:ascii="Arial" w:hAnsi="Arial" w:cs="Arial"/>
          <w:sz w:val="18"/>
          <w:szCs w:val="18"/>
        </w:rPr>
        <w:t>Michael Henn</w:t>
      </w:r>
    </w:p>
    <w:p w:rsidR="00D6259E" w:rsidRPr="00D6259E" w:rsidRDefault="00D6259E" w:rsidP="00D6259E">
      <w:pPr>
        <w:jc w:val="both"/>
        <w:rPr>
          <w:rFonts w:ascii="Arial" w:hAnsi="Arial" w:cs="Arial"/>
          <w:sz w:val="18"/>
          <w:szCs w:val="18"/>
        </w:rPr>
      </w:pPr>
      <w:r w:rsidRPr="00D6259E">
        <w:rPr>
          <w:rFonts w:ascii="Arial" w:hAnsi="Arial" w:cs="Arial"/>
          <w:sz w:val="18"/>
          <w:szCs w:val="18"/>
        </w:rPr>
        <w:t>Rechtsanwalt</w:t>
      </w:r>
    </w:p>
    <w:p w:rsidR="00D6259E" w:rsidRPr="00D6259E" w:rsidRDefault="00D6259E" w:rsidP="00D6259E">
      <w:pPr>
        <w:jc w:val="both"/>
        <w:rPr>
          <w:rFonts w:ascii="Arial" w:hAnsi="Arial" w:cs="Arial"/>
          <w:sz w:val="18"/>
          <w:szCs w:val="18"/>
        </w:rPr>
      </w:pPr>
      <w:r w:rsidRPr="00D6259E">
        <w:rPr>
          <w:rFonts w:ascii="Arial" w:hAnsi="Arial" w:cs="Arial"/>
          <w:sz w:val="18"/>
          <w:szCs w:val="18"/>
        </w:rPr>
        <w:t>Fachanwalt für Erbrecht</w:t>
      </w:r>
    </w:p>
    <w:p w:rsidR="00D6259E" w:rsidRPr="00D6259E" w:rsidRDefault="00D6259E" w:rsidP="00D6259E">
      <w:pPr>
        <w:jc w:val="both"/>
        <w:rPr>
          <w:rFonts w:ascii="Arial" w:hAnsi="Arial" w:cs="Arial"/>
          <w:sz w:val="18"/>
          <w:szCs w:val="18"/>
        </w:rPr>
      </w:pPr>
      <w:r w:rsidRPr="00D6259E">
        <w:rPr>
          <w:rFonts w:ascii="Arial" w:hAnsi="Arial" w:cs="Arial"/>
          <w:sz w:val="18"/>
          <w:szCs w:val="18"/>
        </w:rPr>
        <w:t xml:space="preserve">Fachanwalt für Arbeitsrecht </w:t>
      </w:r>
    </w:p>
    <w:p w:rsidR="00D6259E" w:rsidRPr="00D6259E" w:rsidRDefault="00D6259E" w:rsidP="00D6259E">
      <w:pPr>
        <w:jc w:val="both"/>
        <w:rPr>
          <w:rFonts w:ascii="Arial" w:hAnsi="Arial" w:cs="Arial"/>
          <w:sz w:val="18"/>
          <w:szCs w:val="18"/>
        </w:rPr>
      </w:pPr>
      <w:r w:rsidRPr="00D6259E">
        <w:rPr>
          <w:rFonts w:ascii="Arial" w:hAnsi="Arial" w:cs="Arial"/>
          <w:sz w:val="18"/>
          <w:szCs w:val="18"/>
        </w:rPr>
        <w:t xml:space="preserve">Schriftleiter mittelstandsdepesche </w:t>
      </w:r>
    </w:p>
    <w:p w:rsidR="00D6259E" w:rsidRPr="00D6259E" w:rsidRDefault="00D6259E" w:rsidP="00D6259E">
      <w:pPr>
        <w:jc w:val="both"/>
        <w:rPr>
          <w:rFonts w:ascii="Arial" w:hAnsi="Arial" w:cs="Arial"/>
          <w:sz w:val="18"/>
          <w:szCs w:val="18"/>
        </w:rPr>
      </w:pPr>
      <w:r w:rsidRPr="00D6259E">
        <w:rPr>
          <w:rFonts w:ascii="Arial" w:hAnsi="Arial" w:cs="Arial"/>
          <w:sz w:val="18"/>
          <w:szCs w:val="18"/>
        </w:rPr>
        <w:t xml:space="preserve">Rechtsanwälte Dr. Gaupp &amp; </w:t>
      </w:r>
      <w:proofErr w:type="spellStart"/>
      <w:r w:rsidRPr="00D6259E">
        <w:rPr>
          <w:rFonts w:ascii="Arial" w:hAnsi="Arial" w:cs="Arial"/>
          <w:sz w:val="18"/>
          <w:szCs w:val="18"/>
        </w:rPr>
        <w:t>Coll</w:t>
      </w:r>
      <w:proofErr w:type="spellEnd"/>
      <w:r w:rsidRPr="00D6259E">
        <w:rPr>
          <w:rFonts w:ascii="Arial" w:hAnsi="Arial" w:cs="Arial"/>
          <w:sz w:val="18"/>
          <w:szCs w:val="18"/>
        </w:rPr>
        <w:t>.</w:t>
      </w:r>
    </w:p>
    <w:p w:rsidR="00D6259E" w:rsidRPr="00D6259E" w:rsidRDefault="00D6259E" w:rsidP="00D6259E">
      <w:pPr>
        <w:jc w:val="both"/>
        <w:rPr>
          <w:rFonts w:ascii="Arial" w:hAnsi="Arial" w:cs="Arial"/>
          <w:sz w:val="18"/>
          <w:szCs w:val="18"/>
        </w:rPr>
      </w:pPr>
      <w:r w:rsidRPr="00D6259E">
        <w:rPr>
          <w:rFonts w:ascii="Arial" w:hAnsi="Arial" w:cs="Arial"/>
          <w:sz w:val="18"/>
          <w:szCs w:val="18"/>
        </w:rPr>
        <w:t xml:space="preserve">Kronprinzstr. 14 </w:t>
      </w:r>
      <w:r w:rsidRPr="00D6259E">
        <w:rPr>
          <w:rFonts w:ascii="Arial" w:hAnsi="Arial" w:cs="Arial"/>
          <w:sz w:val="18"/>
          <w:szCs w:val="18"/>
        </w:rPr>
        <w:tab/>
        <w:t>70173 Stuttgart</w:t>
      </w:r>
    </w:p>
    <w:p w:rsidR="00D6259E" w:rsidRPr="00D6259E" w:rsidRDefault="00D6259E" w:rsidP="00D6259E">
      <w:pPr>
        <w:jc w:val="both"/>
        <w:rPr>
          <w:rFonts w:ascii="Arial" w:hAnsi="Arial" w:cs="Arial"/>
          <w:sz w:val="18"/>
          <w:szCs w:val="18"/>
        </w:rPr>
      </w:pPr>
      <w:r w:rsidRPr="00D6259E">
        <w:rPr>
          <w:rFonts w:ascii="Arial" w:hAnsi="Arial" w:cs="Arial"/>
          <w:sz w:val="18"/>
          <w:szCs w:val="18"/>
        </w:rPr>
        <w:t>Tel.: 0711/ 30 58 93-0</w:t>
      </w:r>
      <w:r w:rsidRPr="00D6259E">
        <w:rPr>
          <w:rFonts w:ascii="Arial" w:hAnsi="Arial" w:cs="Arial"/>
          <w:sz w:val="18"/>
          <w:szCs w:val="18"/>
        </w:rPr>
        <w:tab/>
      </w:r>
      <w:r w:rsidRPr="00D6259E">
        <w:rPr>
          <w:rFonts w:ascii="Arial" w:hAnsi="Arial" w:cs="Arial"/>
          <w:sz w:val="18"/>
          <w:szCs w:val="18"/>
        </w:rPr>
        <w:tab/>
        <w:t>Fax: 0711/ 30 58 93-11</w:t>
      </w:r>
    </w:p>
    <w:p w:rsidR="00D6259E" w:rsidRPr="00D6259E" w:rsidRDefault="00D6259E" w:rsidP="00D6259E">
      <w:pPr>
        <w:jc w:val="both"/>
        <w:rPr>
          <w:rFonts w:ascii="Arial" w:hAnsi="Arial" w:cs="Arial"/>
          <w:sz w:val="18"/>
          <w:szCs w:val="18"/>
        </w:rPr>
      </w:pPr>
      <w:r w:rsidRPr="00D6259E">
        <w:rPr>
          <w:rFonts w:ascii="Arial" w:hAnsi="Arial" w:cs="Arial"/>
          <w:sz w:val="18"/>
          <w:szCs w:val="18"/>
        </w:rPr>
        <w:t xml:space="preserve">E-Mail: </w:t>
      </w:r>
      <w:hyperlink r:id="rId7" w:history="1">
        <w:r w:rsidRPr="00D6259E">
          <w:rPr>
            <w:rFonts w:ascii="Arial" w:hAnsi="Arial" w:cs="Arial"/>
            <w:color w:val="0563C1"/>
            <w:sz w:val="18"/>
            <w:szCs w:val="18"/>
            <w:u w:val="single"/>
          </w:rPr>
          <w:t>henn@drgaupp.de</w:t>
        </w:r>
      </w:hyperlink>
      <w:r w:rsidRPr="00D6259E">
        <w:rPr>
          <w:rFonts w:ascii="Arial" w:hAnsi="Arial" w:cs="Arial"/>
          <w:sz w:val="18"/>
          <w:szCs w:val="18"/>
        </w:rPr>
        <w:tab/>
      </w:r>
      <w:r w:rsidRPr="00D6259E">
        <w:rPr>
          <w:rFonts w:ascii="Arial" w:hAnsi="Arial" w:cs="Arial"/>
          <w:sz w:val="18"/>
          <w:szCs w:val="18"/>
        </w:rPr>
        <w:tab/>
      </w:r>
      <w:hyperlink r:id="rId8" w:history="1">
        <w:r w:rsidRPr="00D6259E">
          <w:rPr>
            <w:rFonts w:ascii="Arial" w:hAnsi="Arial" w:cs="Arial"/>
            <w:color w:val="0563C1"/>
            <w:sz w:val="18"/>
            <w:szCs w:val="18"/>
            <w:u w:val="single"/>
          </w:rPr>
          <w:t>www.drgaupp.de</w:t>
        </w:r>
      </w:hyperlink>
    </w:p>
    <w:p w:rsidR="008B5115" w:rsidRPr="00C472A1" w:rsidRDefault="008B5115" w:rsidP="00C472A1">
      <w:pPr>
        <w:jc w:val="both"/>
        <w:rPr>
          <w:rFonts w:ascii="Arial" w:hAnsi="Arial" w:cs="Arial"/>
          <w:sz w:val="20"/>
          <w:szCs w:val="20"/>
        </w:rPr>
      </w:pPr>
    </w:p>
    <w:sectPr w:rsidR="008B5115" w:rsidRPr="00C472A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F52" w:rsidRDefault="00623F52" w:rsidP="00623F52">
      <w:r>
        <w:separator/>
      </w:r>
    </w:p>
  </w:endnote>
  <w:endnote w:type="continuationSeparator" w:id="0">
    <w:p w:rsidR="00623F52" w:rsidRDefault="00623F52" w:rsidP="0062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F52" w:rsidRDefault="00623F52" w:rsidP="00623F52">
      <w:r>
        <w:separator/>
      </w:r>
    </w:p>
  </w:footnote>
  <w:footnote w:type="continuationSeparator" w:id="0">
    <w:p w:rsidR="00623F52" w:rsidRDefault="00623F52" w:rsidP="00623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F52" w:rsidRPr="004D046F" w:rsidRDefault="00623F52" w:rsidP="00623F52">
    <w:pPr>
      <w:tabs>
        <w:tab w:val="center" w:pos="4819"/>
        <w:tab w:val="right" w:pos="9071"/>
      </w:tabs>
      <w:jc w:val="center"/>
      <w:rPr>
        <w:rFonts w:ascii="Arial" w:hAnsi="Arial" w:cs="Arial"/>
        <w:sz w:val="22"/>
        <w:szCs w:val="20"/>
      </w:rPr>
    </w:pPr>
    <w:r>
      <w:rPr>
        <w:rFonts w:ascii="Arial" w:hAnsi="Arial" w:cs="Arial"/>
        <w:b/>
        <w:bCs/>
        <w:sz w:val="28"/>
        <w:szCs w:val="28"/>
      </w:rPr>
      <w:t>mittelstandsdepesche 10</w:t>
    </w:r>
    <w:r w:rsidRPr="004D046F">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11D9"/>
    <w:multiLevelType w:val="hybridMultilevel"/>
    <w:tmpl w:val="FD6CD28A"/>
    <w:lvl w:ilvl="0" w:tplc="9A041206">
      <w:start w:val="1"/>
      <w:numFmt w:val="decimal"/>
      <w:lvlText w:val="%1.)"/>
      <w:lvlJc w:val="left"/>
      <w:pPr>
        <w:tabs>
          <w:tab w:val="num" w:pos="567"/>
        </w:tabs>
        <w:ind w:left="567" w:hanging="567"/>
      </w:pPr>
      <w:rPr>
        <w:rFonts w:cs="Times New Roman"/>
        <w:b/>
      </w:rPr>
    </w:lvl>
    <w:lvl w:ilvl="1" w:tplc="04070019">
      <w:start w:val="1"/>
      <w:numFmt w:val="lowerLetter"/>
      <w:lvlText w:val="%2."/>
      <w:lvlJc w:val="left"/>
      <w:pPr>
        <w:ind w:left="1800" w:hanging="360"/>
      </w:pPr>
      <w:rPr>
        <w:rFonts w:cs="Times New Roman"/>
      </w:rPr>
    </w:lvl>
    <w:lvl w:ilvl="2" w:tplc="0407001B">
      <w:start w:val="1"/>
      <w:numFmt w:val="lowerRoman"/>
      <w:lvlText w:val="%3."/>
      <w:lvlJc w:val="right"/>
      <w:pPr>
        <w:ind w:left="2520" w:hanging="180"/>
      </w:pPr>
      <w:rPr>
        <w:rFonts w:cs="Times New Roman"/>
      </w:rPr>
    </w:lvl>
    <w:lvl w:ilvl="3" w:tplc="0407000F">
      <w:start w:val="1"/>
      <w:numFmt w:val="decimal"/>
      <w:lvlText w:val="%4."/>
      <w:lvlJc w:val="left"/>
      <w:pPr>
        <w:ind w:left="3240" w:hanging="360"/>
      </w:pPr>
      <w:rPr>
        <w:rFonts w:cs="Times New Roman"/>
      </w:rPr>
    </w:lvl>
    <w:lvl w:ilvl="4" w:tplc="04070019">
      <w:start w:val="1"/>
      <w:numFmt w:val="lowerLetter"/>
      <w:lvlText w:val="%5."/>
      <w:lvlJc w:val="left"/>
      <w:pPr>
        <w:ind w:left="3960" w:hanging="360"/>
      </w:pPr>
      <w:rPr>
        <w:rFonts w:cs="Times New Roman"/>
      </w:rPr>
    </w:lvl>
    <w:lvl w:ilvl="5" w:tplc="0407001B">
      <w:start w:val="1"/>
      <w:numFmt w:val="lowerRoman"/>
      <w:lvlText w:val="%6."/>
      <w:lvlJc w:val="right"/>
      <w:pPr>
        <w:ind w:left="4680" w:hanging="180"/>
      </w:pPr>
      <w:rPr>
        <w:rFonts w:cs="Times New Roman"/>
      </w:rPr>
    </w:lvl>
    <w:lvl w:ilvl="6" w:tplc="0407000F">
      <w:start w:val="1"/>
      <w:numFmt w:val="decimal"/>
      <w:lvlText w:val="%7."/>
      <w:lvlJc w:val="left"/>
      <w:pPr>
        <w:ind w:left="5400" w:hanging="360"/>
      </w:pPr>
      <w:rPr>
        <w:rFonts w:cs="Times New Roman"/>
      </w:rPr>
    </w:lvl>
    <w:lvl w:ilvl="7" w:tplc="04070019">
      <w:start w:val="1"/>
      <w:numFmt w:val="lowerLetter"/>
      <w:lvlText w:val="%8."/>
      <w:lvlJc w:val="left"/>
      <w:pPr>
        <w:ind w:left="6120" w:hanging="360"/>
      </w:pPr>
      <w:rPr>
        <w:rFonts w:cs="Times New Roman"/>
      </w:rPr>
    </w:lvl>
    <w:lvl w:ilvl="8" w:tplc="0407001B">
      <w:start w:val="1"/>
      <w:numFmt w:val="lowerRoman"/>
      <w:lvlText w:val="%9."/>
      <w:lvlJc w:val="right"/>
      <w:pPr>
        <w:ind w:left="6840" w:hanging="180"/>
      </w:pPr>
      <w:rPr>
        <w:rFonts w:cs="Times New Roman"/>
      </w:rPr>
    </w:lvl>
  </w:abstractNum>
  <w:abstractNum w:abstractNumId="1" w15:restartNumberingAfterBreak="0">
    <w:nsid w:val="12E17457"/>
    <w:multiLevelType w:val="multilevel"/>
    <w:tmpl w:val="DFFE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F3246"/>
    <w:multiLevelType w:val="multilevel"/>
    <w:tmpl w:val="B0CA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80DB0"/>
    <w:multiLevelType w:val="multilevel"/>
    <w:tmpl w:val="B4EA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0147C"/>
    <w:multiLevelType w:val="multilevel"/>
    <w:tmpl w:val="3F6E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A35E6"/>
    <w:multiLevelType w:val="multilevel"/>
    <w:tmpl w:val="E8F6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57631E"/>
    <w:multiLevelType w:val="multilevel"/>
    <w:tmpl w:val="A072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036DB"/>
    <w:multiLevelType w:val="multilevel"/>
    <w:tmpl w:val="3F7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1"/>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0D"/>
    <w:rsid w:val="0050504C"/>
    <w:rsid w:val="00623F52"/>
    <w:rsid w:val="0079779A"/>
    <w:rsid w:val="008B5115"/>
    <w:rsid w:val="00932100"/>
    <w:rsid w:val="009C0973"/>
    <w:rsid w:val="00B70457"/>
    <w:rsid w:val="00C472A1"/>
    <w:rsid w:val="00CF0C0D"/>
    <w:rsid w:val="00D6259E"/>
    <w:rsid w:val="00ED775D"/>
    <w:rsid w:val="00F2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7E2F7-A40E-45CD-9EE4-F748616E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0C0D"/>
    <w:pPr>
      <w:spacing w:after="0" w:line="240" w:lineRule="auto"/>
    </w:pPr>
    <w:rPr>
      <w:rFonts w:ascii="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qFormat/>
    <w:rsid w:val="00B704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semiHidden/>
    <w:unhideWhenUsed/>
    <w:qFormat/>
    <w:rsid w:val="00CF0C0D"/>
    <w:pPr>
      <w:spacing w:after="75" w:line="240" w:lineRule="atLeast"/>
      <w:outlineLvl w:val="2"/>
    </w:pPr>
    <w:rPr>
      <w:b/>
      <w:bCs/>
    </w:rPr>
  </w:style>
  <w:style w:type="paragraph" w:styleId="berschrift4">
    <w:name w:val="heading 4"/>
    <w:basedOn w:val="Standard"/>
    <w:link w:val="berschrift4Zchn"/>
    <w:uiPriority w:val="9"/>
    <w:semiHidden/>
    <w:unhideWhenUsed/>
    <w:qFormat/>
    <w:rsid w:val="00CF0C0D"/>
    <w:pPr>
      <w:spacing w:after="150"/>
      <w:outlineLvl w:val="3"/>
    </w:pPr>
    <w:rPr>
      <w:color w:val="666666"/>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CF0C0D"/>
    <w:rPr>
      <w:rFonts w:ascii="Times New Roman" w:hAnsi="Times New Roman" w:cs="Times New Roman"/>
      <w:b/>
      <w:bCs/>
      <w:sz w:val="24"/>
      <w:szCs w:val="24"/>
      <w:lang w:eastAsia="de-DE"/>
    </w:rPr>
  </w:style>
  <w:style w:type="character" w:customStyle="1" w:styleId="berschrift4Zchn">
    <w:name w:val="Überschrift 4 Zchn"/>
    <w:basedOn w:val="Absatz-Standardschriftart"/>
    <w:link w:val="berschrift4"/>
    <w:uiPriority w:val="9"/>
    <w:semiHidden/>
    <w:rsid w:val="00CF0C0D"/>
    <w:rPr>
      <w:rFonts w:ascii="Times New Roman" w:hAnsi="Times New Roman" w:cs="Times New Roman"/>
      <w:color w:val="666666"/>
      <w:sz w:val="21"/>
      <w:szCs w:val="21"/>
      <w:lang w:eastAsia="de-DE"/>
    </w:rPr>
  </w:style>
  <w:style w:type="paragraph" w:styleId="Kopfzeile">
    <w:name w:val="header"/>
    <w:basedOn w:val="Standard"/>
    <w:link w:val="KopfzeileZchn"/>
    <w:uiPriority w:val="99"/>
    <w:unhideWhenUsed/>
    <w:rsid w:val="00623F52"/>
    <w:pPr>
      <w:tabs>
        <w:tab w:val="center" w:pos="4536"/>
        <w:tab w:val="right" w:pos="9072"/>
      </w:tabs>
    </w:pPr>
  </w:style>
  <w:style w:type="character" w:customStyle="1" w:styleId="KopfzeileZchn">
    <w:name w:val="Kopfzeile Zchn"/>
    <w:basedOn w:val="Absatz-Standardschriftart"/>
    <w:link w:val="Kopfzeile"/>
    <w:uiPriority w:val="99"/>
    <w:rsid w:val="00623F52"/>
    <w:rPr>
      <w:rFonts w:ascii="Times New Roman" w:hAnsi="Times New Roman" w:cs="Times New Roman"/>
      <w:sz w:val="24"/>
      <w:szCs w:val="24"/>
      <w:lang w:eastAsia="de-DE"/>
    </w:rPr>
  </w:style>
  <w:style w:type="paragraph" w:styleId="Fuzeile">
    <w:name w:val="footer"/>
    <w:basedOn w:val="Standard"/>
    <w:link w:val="FuzeileZchn"/>
    <w:uiPriority w:val="99"/>
    <w:unhideWhenUsed/>
    <w:rsid w:val="00623F52"/>
    <w:pPr>
      <w:tabs>
        <w:tab w:val="center" w:pos="4536"/>
        <w:tab w:val="right" w:pos="9072"/>
      </w:tabs>
    </w:pPr>
  </w:style>
  <w:style w:type="character" w:customStyle="1" w:styleId="FuzeileZchn">
    <w:name w:val="Fußzeile Zchn"/>
    <w:basedOn w:val="Absatz-Standardschriftart"/>
    <w:link w:val="Fuzeile"/>
    <w:uiPriority w:val="99"/>
    <w:rsid w:val="00623F52"/>
    <w:rPr>
      <w:rFonts w:ascii="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B70457"/>
    <w:rPr>
      <w:rFonts w:asciiTheme="majorHAnsi" w:eastAsiaTheme="majorEastAsia" w:hAnsiTheme="majorHAnsi" w:cstheme="majorBidi"/>
      <w:color w:val="2E74B5" w:themeColor="accent1" w:themeShade="BF"/>
      <w:sz w:val="26"/>
      <w:szCs w:val="26"/>
      <w:lang w:eastAsia="de-DE"/>
    </w:rPr>
  </w:style>
  <w:style w:type="character" w:styleId="Fett">
    <w:name w:val="Strong"/>
    <w:basedOn w:val="Absatz-Standardschriftart"/>
    <w:uiPriority w:val="22"/>
    <w:qFormat/>
    <w:rsid w:val="00B70457"/>
    <w:rPr>
      <w:b/>
      <w:bCs/>
    </w:rPr>
  </w:style>
  <w:style w:type="character" w:styleId="Hyperlink">
    <w:name w:val="Hyperlink"/>
    <w:basedOn w:val="Absatz-Standardschriftart"/>
    <w:uiPriority w:val="99"/>
    <w:unhideWhenUsed/>
    <w:rsid w:val="00B70457"/>
    <w:rPr>
      <w:color w:val="0000FF"/>
      <w:u w:val="single"/>
    </w:rPr>
  </w:style>
  <w:style w:type="character" w:customStyle="1" w:styleId="doclink">
    <w:name w:val="doclink"/>
    <w:basedOn w:val="Absatz-Standardschriftart"/>
    <w:rsid w:val="00B70457"/>
  </w:style>
  <w:style w:type="paragraph" w:styleId="StandardWeb">
    <w:name w:val="Normal (Web)"/>
    <w:basedOn w:val="Standard"/>
    <w:uiPriority w:val="99"/>
    <w:semiHidden/>
    <w:unhideWhenUsed/>
    <w:rsid w:val="00B7045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8719">
      <w:bodyDiv w:val="1"/>
      <w:marLeft w:val="0"/>
      <w:marRight w:val="0"/>
      <w:marTop w:val="0"/>
      <w:marBottom w:val="0"/>
      <w:divBdr>
        <w:top w:val="none" w:sz="0" w:space="0" w:color="auto"/>
        <w:left w:val="none" w:sz="0" w:space="0" w:color="auto"/>
        <w:bottom w:val="none" w:sz="0" w:space="0" w:color="auto"/>
        <w:right w:val="none" w:sz="0" w:space="0" w:color="auto"/>
      </w:divBdr>
      <w:divsChild>
        <w:div w:id="1883782492">
          <w:marLeft w:val="0"/>
          <w:marRight w:val="0"/>
          <w:marTop w:val="0"/>
          <w:marBottom w:val="0"/>
          <w:divBdr>
            <w:top w:val="none" w:sz="0" w:space="0" w:color="auto"/>
            <w:left w:val="none" w:sz="0" w:space="0" w:color="auto"/>
            <w:bottom w:val="none" w:sz="0" w:space="0" w:color="auto"/>
            <w:right w:val="none" w:sz="0" w:space="0" w:color="auto"/>
          </w:divBdr>
          <w:divsChild>
            <w:div w:id="1718240130">
              <w:marLeft w:val="0"/>
              <w:marRight w:val="0"/>
              <w:marTop w:val="0"/>
              <w:marBottom w:val="0"/>
              <w:divBdr>
                <w:top w:val="none" w:sz="0" w:space="0" w:color="auto"/>
                <w:left w:val="none" w:sz="0" w:space="0" w:color="auto"/>
                <w:bottom w:val="none" w:sz="0" w:space="0" w:color="auto"/>
                <w:right w:val="none" w:sz="0" w:space="0" w:color="auto"/>
              </w:divBdr>
              <w:divsChild>
                <w:div w:id="646277674">
                  <w:marLeft w:val="0"/>
                  <w:marRight w:val="0"/>
                  <w:marTop w:val="0"/>
                  <w:marBottom w:val="0"/>
                  <w:divBdr>
                    <w:top w:val="none" w:sz="0" w:space="0" w:color="auto"/>
                    <w:left w:val="none" w:sz="0" w:space="0" w:color="auto"/>
                    <w:bottom w:val="none" w:sz="0" w:space="0" w:color="auto"/>
                    <w:right w:val="none" w:sz="0" w:space="0" w:color="auto"/>
                  </w:divBdr>
                  <w:divsChild>
                    <w:div w:id="5471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5333">
          <w:marLeft w:val="0"/>
          <w:marRight w:val="0"/>
          <w:marTop w:val="0"/>
          <w:marBottom w:val="0"/>
          <w:divBdr>
            <w:top w:val="none" w:sz="0" w:space="0" w:color="auto"/>
            <w:left w:val="none" w:sz="0" w:space="0" w:color="auto"/>
            <w:bottom w:val="none" w:sz="0" w:space="0" w:color="auto"/>
            <w:right w:val="none" w:sz="0" w:space="0" w:color="auto"/>
          </w:divBdr>
        </w:div>
        <w:div w:id="1219778423">
          <w:marLeft w:val="0"/>
          <w:marRight w:val="0"/>
          <w:marTop w:val="0"/>
          <w:marBottom w:val="0"/>
          <w:divBdr>
            <w:top w:val="none" w:sz="0" w:space="0" w:color="auto"/>
            <w:left w:val="none" w:sz="0" w:space="0" w:color="auto"/>
            <w:bottom w:val="none" w:sz="0" w:space="0" w:color="auto"/>
            <w:right w:val="none" w:sz="0" w:space="0" w:color="auto"/>
          </w:divBdr>
          <w:divsChild>
            <w:div w:id="363211754">
              <w:marLeft w:val="0"/>
              <w:marRight w:val="0"/>
              <w:marTop w:val="0"/>
              <w:marBottom w:val="0"/>
              <w:divBdr>
                <w:top w:val="none" w:sz="0" w:space="0" w:color="auto"/>
                <w:left w:val="none" w:sz="0" w:space="0" w:color="auto"/>
                <w:bottom w:val="none" w:sz="0" w:space="0" w:color="auto"/>
                <w:right w:val="none" w:sz="0" w:space="0" w:color="auto"/>
              </w:divBdr>
              <w:divsChild>
                <w:div w:id="1099252705">
                  <w:marLeft w:val="0"/>
                  <w:marRight w:val="0"/>
                  <w:marTop w:val="0"/>
                  <w:marBottom w:val="0"/>
                  <w:divBdr>
                    <w:top w:val="none" w:sz="0" w:space="0" w:color="auto"/>
                    <w:left w:val="none" w:sz="0" w:space="0" w:color="auto"/>
                    <w:bottom w:val="none" w:sz="0" w:space="0" w:color="auto"/>
                    <w:right w:val="none" w:sz="0" w:space="0" w:color="auto"/>
                  </w:divBdr>
                </w:div>
                <w:div w:id="1350326499">
                  <w:marLeft w:val="0"/>
                  <w:marRight w:val="0"/>
                  <w:marTop w:val="0"/>
                  <w:marBottom w:val="0"/>
                  <w:divBdr>
                    <w:top w:val="none" w:sz="0" w:space="0" w:color="auto"/>
                    <w:left w:val="none" w:sz="0" w:space="0" w:color="auto"/>
                    <w:bottom w:val="none" w:sz="0" w:space="0" w:color="auto"/>
                    <w:right w:val="none" w:sz="0" w:space="0" w:color="auto"/>
                  </w:divBdr>
                  <w:divsChild>
                    <w:div w:id="10190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9319">
      <w:bodyDiv w:val="1"/>
      <w:marLeft w:val="0"/>
      <w:marRight w:val="0"/>
      <w:marTop w:val="0"/>
      <w:marBottom w:val="0"/>
      <w:divBdr>
        <w:top w:val="none" w:sz="0" w:space="0" w:color="auto"/>
        <w:left w:val="none" w:sz="0" w:space="0" w:color="auto"/>
        <w:bottom w:val="none" w:sz="0" w:space="0" w:color="auto"/>
        <w:right w:val="none" w:sz="0" w:space="0" w:color="auto"/>
      </w:divBdr>
      <w:divsChild>
        <w:div w:id="929505763">
          <w:marLeft w:val="0"/>
          <w:marRight w:val="0"/>
          <w:marTop w:val="0"/>
          <w:marBottom w:val="0"/>
          <w:divBdr>
            <w:top w:val="none" w:sz="0" w:space="0" w:color="auto"/>
            <w:left w:val="none" w:sz="0" w:space="0" w:color="auto"/>
            <w:bottom w:val="none" w:sz="0" w:space="0" w:color="auto"/>
            <w:right w:val="none" w:sz="0" w:space="0" w:color="auto"/>
          </w:divBdr>
          <w:divsChild>
            <w:div w:id="189032563">
              <w:marLeft w:val="0"/>
              <w:marRight w:val="0"/>
              <w:marTop w:val="0"/>
              <w:marBottom w:val="0"/>
              <w:divBdr>
                <w:top w:val="none" w:sz="0" w:space="0" w:color="auto"/>
                <w:left w:val="none" w:sz="0" w:space="0" w:color="auto"/>
                <w:bottom w:val="none" w:sz="0" w:space="0" w:color="auto"/>
                <w:right w:val="none" w:sz="0" w:space="0" w:color="auto"/>
              </w:divBdr>
              <w:divsChild>
                <w:div w:id="314337841">
                  <w:marLeft w:val="0"/>
                  <w:marRight w:val="0"/>
                  <w:marTop w:val="0"/>
                  <w:marBottom w:val="0"/>
                  <w:divBdr>
                    <w:top w:val="none" w:sz="0" w:space="0" w:color="auto"/>
                    <w:left w:val="none" w:sz="0" w:space="0" w:color="auto"/>
                    <w:bottom w:val="none" w:sz="0" w:space="0" w:color="auto"/>
                    <w:right w:val="none" w:sz="0" w:space="0" w:color="auto"/>
                  </w:divBdr>
                  <w:divsChild>
                    <w:div w:id="15469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280">
          <w:marLeft w:val="0"/>
          <w:marRight w:val="0"/>
          <w:marTop w:val="0"/>
          <w:marBottom w:val="0"/>
          <w:divBdr>
            <w:top w:val="none" w:sz="0" w:space="0" w:color="auto"/>
            <w:left w:val="none" w:sz="0" w:space="0" w:color="auto"/>
            <w:bottom w:val="none" w:sz="0" w:space="0" w:color="auto"/>
            <w:right w:val="none" w:sz="0" w:space="0" w:color="auto"/>
          </w:divBdr>
        </w:div>
        <w:div w:id="156657611">
          <w:marLeft w:val="0"/>
          <w:marRight w:val="0"/>
          <w:marTop w:val="0"/>
          <w:marBottom w:val="0"/>
          <w:divBdr>
            <w:top w:val="none" w:sz="0" w:space="0" w:color="auto"/>
            <w:left w:val="none" w:sz="0" w:space="0" w:color="auto"/>
            <w:bottom w:val="none" w:sz="0" w:space="0" w:color="auto"/>
            <w:right w:val="none" w:sz="0" w:space="0" w:color="auto"/>
          </w:divBdr>
          <w:divsChild>
            <w:div w:id="1083643639">
              <w:marLeft w:val="0"/>
              <w:marRight w:val="0"/>
              <w:marTop w:val="0"/>
              <w:marBottom w:val="0"/>
              <w:divBdr>
                <w:top w:val="none" w:sz="0" w:space="0" w:color="auto"/>
                <w:left w:val="none" w:sz="0" w:space="0" w:color="auto"/>
                <w:bottom w:val="none" w:sz="0" w:space="0" w:color="auto"/>
                <w:right w:val="none" w:sz="0" w:space="0" w:color="auto"/>
              </w:divBdr>
              <w:divsChild>
                <w:div w:id="503007929">
                  <w:marLeft w:val="-300"/>
                  <w:marRight w:val="0"/>
                  <w:marTop w:val="60"/>
                  <w:marBottom w:val="0"/>
                  <w:divBdr>
                    <w:top w:val="none" w:sz="0" w:space="0" w:color="auto"/>
                    <w:left w:val="none" w:sz="0" w:space="0" w:color="auto"/>
                    <w:bottom w:val="none" w:sz="0" w:space="0" w:color="auto"/>
                    <w:right w:val="none" w:sz="0" w:space="0" w:color="auto"/>
                  </w:divBdr>
                </w:div>
              </w:divsChild>
            </w:div>
            <w:div w:id="728305995">
              <w:marLeft w:val="0"/>
              <w:marRight w:val="0"/>
              <w:marTop w:val="0"/>
              <w:marBottom w:val="0"/>
              <w:divBdr>
                <w:top w:val="none" w:sz="0" w:space="0" w:color="auto"/>
                <w:left w:val="none" w:sz="0" w:space="0" w:color="auto"/>
                <w:bottom w:val="none" w:sz="0" w:space="0" w:color="auto"/>
                <w:right w:val="none" w:sz="0" w:space="0" w:color="auto"/>
              </w:divBdr>
              <w:divsChild>
                <w:div w:id="330259049">
                  <w:marLeft w:val="0"/>
                  <w:marRight w:val="0"/>
                  <w:marTop w:val="0"/>
                  <w:marBottom w:val="0"/>
                  <w:divBdr>
                    <w:top w:val="none" w:sz="0" w:space="0" w:color="auto"/>
                    <w:left w:val="none" w:sz="0" w:space="0" w:color="auto"/>
                    <w:bottom w:val="none" w:sz="0" w:space="0" w:color="auto"/>
                    <w:right w:val="none" w:sz="0" w:space="0" w:color="auto"/>
                  </w:divBdr>
                </w:div>
                <w:div w:id="547030244">
                  <w:marLeft w:val="0"/>
                  <w:marRight w:val="0"/>
                  <w:marTop w:val="0"/>
                  <w:marBottom w:val="0"/>
                  <w:divBdr>
                    <w:top w:val="none" w:sz="0" w:space="0" w:color="auto"/>
                    <w:left w:val="none" w:sz="0" w:space="0" w:color="auto"/>
                    <w:bottom w:val="none" w:sz="0" w:space="0" w:color="auto"/>
                    <w:right w:val="none" w:sz="0" w:space="0" w:color="auto"/>
                  </w:divBdr>
                  <w:divsChild>
                    <w:div w:id="4411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63576">
      <w:bodyDiv w:val="1"/>
      <w:marLeft w:val="0"/>
      <w:marRight w:val="0"/>
      <w:marTop w:val="0"/>
      <w:marBottom w:val="0"/>
      <w:divBdr>
        <w:top w:val="none" w:sz="0" w:space="0" w:color="auto"/>
        <w:left w:val="none" w:sz="0" w:space="0" w:color="auto"/>
        <w:bottom w:val="none" w:sz="0" w:space="0" w:color="auto"/>
        <w:right w:val="none" w:sz="0" w:space="0" w:color="auto"/>
      </w:divBdr>
      <w:divsChild>
        <w:div w:id="2007514907">
          <w:marLeft w:val="0"/>
          <w:marRight w:val="0"/>
          <w:marTop w:val="0"/>
          <w:marBottom w:val="0"/>
          <w:divBdr>
            <w:top w:val="none" w:sz="0" w:space="0" w:color="auto"/>
            <w:left w:val="none" w:sz="0" w:space="0" w:color="auto"/>
            <w:bottom w:val="none" w:sz="0" w:space="0" w:color="auto"/>
            <w:right w:val="none" w:sz="0" w:space="0" w:color="auto"/>
          </w:divBdr>
          <w:divsChild>
            <w:div w:id="829490700">
              <w:marLeft w:val="0"/>
              <w:marRight w:val="0"/>
              <w:marTop w:val="0"/>
              <w:marBottom w:val="0"/>
              <w:divBdr>
                <w:top w:val="none" w:sz="0" w:space="0" w:color="auto"/>
                <w:left w:val="none" w:sz="0" w:space="0" w:color="auto"/>
                <w:bottom w:val="none" w:sz="0" w:space="0" w:color="auto"/>
                <w:right w:val="none" w:sz="0" w:space="0" w:color="auto"/>
              </w:divBdr>
              <w:divsChild>
                <w:div w:id="1960338677">
                  <w:marLeft w:val="0"/>
                  <w:marRight w:val="0"/>
                  <w:marTop w:val="0"/>
                  <w:marBottom w:val="0"/>
                  <w:divBdr>
                    <w:top w:val="none" w:sz="0" w:space="0" w:color="auto"/>
                    <w:left w:val="none" w:sz="0" w:space="0" w:color="auto"/>
                    <w:bottom w:val="none" w:sz="0" w:space="0" w:color="auto"/>
                    <w:right w:val="none" w:sz="0" w:space="0" w:color="auto"/>
                  </w:divBdr>
                  <w:divsChild>
                    <w:div w:id="2070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1925">
          <w:marLeft w:val="0"/>
          <w:marRight w:val="0"/>
          <w:marTop w:val="0"/>
          <w:marBottom w:val="0"/>
          <w:divBdr>
            <w:top w:val="none" w:sz="0" w:space="0" w:color="auto"/>
            <w:left w:val="none" w:sz="0" w:space="0" w:color="auto"/>
            <w:bottom w:val="none" w:sz="0" w:space="0" w:color="auto"/>
            <w:right w:val="none" w:sz="0" w:space="0" w:color="auto"/>
          </w:divBdr>
        </w:div>
        <w:div w:id="1833908555">
          <w:marLeft w:val="0"/>
          <w:marRight w:val="0"/>
          <w:marTop w:val="0"/>
          <w:marBottom w:val="0"/>
          <w:divBdr>
            <w:top w:val="none" w:sz="0" w:space="0" w:color="auto"/>
            <w:left w:val="none" w:sz="0" w:space="0" w:color="auto"/>
            <w:bottom w:val="none" w:sz="0" w:space="0" w:color="auto"/>
            <w:right w:val="none" w:sz="0" w:space="0" w:color="auto"/>
          </w:divBdr>
          <w:divsChild>
            <w:div w:id="368991945">
              <w:marLeft w:val="0"/>
              <w:marRight w:val="0"/>
              <w:marTop w:val="0"/>
              <w:marBottom w:val="0"/>
              <w:divBdr>
                <w:top w:val="none" w:sz="0" w:space="0" w:color="auto"/>
                <w:left w:val="none" w:sz="0" w:space="0" w:color="auto"/>
                <w:bottom w:val="none" w:sz="0" w:space="0" w:color="auto"/>
                <w:right w:val="none" w:sz="0" w:space="0" w:color="auto"/>
              </w:divBdr>
              <w:divsChild>
                <w:div w:id="1745756940">
                  <w:marLeft w:val="0"/>
                  <w:marRight w:val="0"/>
                  <w:marTop w:val="0"/>
                  <w:marBottom w:val="0"/>
                  <w:divBdr>
                    <w:top w:val="none" w:sz="0" w:space="0" w:color="auto"/>
                    <w:left w:val="none" w:sz="0" w:space="0" w:color="auto"/>
                    <w:bottom w:val="none" w:sz="0" w:space="0" w:color="auto"/>
                    <w:right w:val="none" w:sz="0" w:space="0" w:color="auto"/>
                  </w:divBdr>
                </w:div>
                <w:div w:id="678508622">
                  <w:marLeft w:val="0"/>
                  <w:marRight w:val="0"/>
                  <w:marTop w:val="0"/>
                  <w:marBottom w:val="0"/>
                  <w:divBdr>
                    <w:top w:val="none" w:sz="0" w:space="0" w:color="auto"/>
                    <w:left w:val="none" w:sz="0" w:space="0" w:color="auto"/>
                    <w:bottom w:val="none" w:sz="0" w:space="0" w:color="auto"/>
                    <w:right w:val="none" w:sz="0" w:space="0" w:color="auto"/>
                  </w:divBdr>
                  <w:divsChild>
                    <w:div w:id="3381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6049">
      <w:bodyDiv w:val="1"/>
      <w:marLeft w:val="0"/>
      <w:marRight w:val="0"/>
      <w:marTop w:val="0"/>
      <w:marBottom w:val="0"/>
      <w:divBdr>
        <w:top w:val="none" w:sz="0" w:space="0" w:color="auto"/>
        <w:left w:val="none" w:sz="0" w:space="0" w:color="auto"/>
        <w:bottom w:val="none" w:sz="0" w:space="0" w:color="auto"/>
        <w:right w:val="none" w:sz="0" w:space="0" w:color="auto"/>
      </w:divBdr>
      <w:divsChild>
        <w:div w:id="1658728981">
          <w:marLeft w:val="0"/>
          <w:marRight w:val="0"/>
          <w:marTop w:val="0"/>
          <w:marBottom w:val="0"/>
          <w:divBdr>
            <w:top w:val="none" w:sz="0" w:space="0" w:color="auto"/>
            <w:left w:val="none" w:sz="0" w:space="0" w:color="auto"/>
            <w:bottom w:val="none" w:sz="0" w:space="0" w:color="auto"/>
            <w:right w:val="none" w:sz="0" w:space="0" w:color="auto"/>
          </w:divBdr>
          <w:divsChild>
            <w:div w:id="340278392">
              <w:marLeft w:val="0"/>
              <w:marRight w:val="0"/>
              <w:marTop w:val="0"/>
              <w:marBottom w:val="0"/>
              <w:divBdr>
                <w:top w:val="none" w:sz="0" w:space="0" w:color="auto"/>
                <w:left w:val="none" w:sz="0" w:space="0" w:color="auto"/>
                <w:bottom w:val="none" w:sz="0" w:space="0" w:color="auto"/>
                <w:right w:val="none" w:sz="0" w:space="0" w:color="auto"/>
              </w:divBdr>
              <w:divsChild>
                <w:div w:id="1636252183">
                  <w:marLeft w:val="0"/>
                  <w:marRight w:val="0"/>
                  <w:marTop w:val="0"/>
                  <w:marBottom w:val="0"/>
                  <w:divBdr>
                    <w:top w:val="none" w:sz="0" w:space="0" w:color="auto"/>
                    <w:left w:val="none" w:sz="0" w:space="0" w:color="auto"/>
                    <w:bottom w:val="none" w:sz="0" w:space="0" w:color="auto"/>
                    <w:right w:val="none" w:sz="0" w:space="0" w:color="auto"/>
                  </w:divBdr>
                  <w:divsChild>
                    <w:div w:id="3160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08650">
          <w:marLeft w:val="0"/>
          <w:marRight w:val="0"/>
          <w:marTop w:val="0"/>
          <w:marBottom w:val="0"/>
          <w:divBdr>
            <w:top w:val="none" w:sz="0" w:space="0" w:color="auto"/>
            <w:left w:val="none" w:sz="0" w:space="0" w:color="auto"/>
            <w:bottom w:val="none" w:sz="0" w:space="0" w:color="auto"/>
            <w:right w:val="none" w:sz="0" w:space="0" w:color="auto"/>
          </w:divBdr>
        </w:div>
        <w:div w:id="912741462">
          <w:marLeft w:val="0"/>
          <w:marRight w:val="0"/>
          <w:marTop w:val="0"/>
          <w:marBottom w:val="0"/>
          <w:divBdr>
            <w:top w:val="none" w:sz="0" w:space="0" w:color="auto"/>
            <w:left w:val="none" w:sz="0" w:space="0" w:color="auto"/>
            <w:bottom w:val="none" w:sz="0" w:space="0" w:color="auto"/>
            <w:right w:val="none" w:sz="0" w:space="0" w:color="auto"/>
          </w:divBdr>
          <w:divsChild>
            <w:div w:id="188954816">
              <w:marLeft w:val="0"/>
              <w:marRight w:val="0"/>
              <w:marTop w:val="0"/>
              <w:marBottom w:val="0"/>
              <w:divBdr>
                <w:top w:val="none" w:sz="0" w:space="0" w:color="auto"/>
                <w:left w:val="none" w:sz="0" w:space="0" w:color="auto"/>
                <w:bottom w:val="none" w:sz="0" w:space="0" w:color="auto"/>
                <w:right w:val="none" w:sz="0" w:space="0" w:color="auto"/>
              </w:divBdr>
              <w:divsChild>
                <w:div w:id="934441332">
                  <w:marLeft w:val="-300"/>
                  <w:marRight w:val="0"/>
                  <w:marTop w:val="60"/>
                  <w:marBottom w:val="0"/>
                  <w:divBdr>
                    <w:top w:val="none" w:sz="0" w:space="0" w:color="auto"/>
                    <w:left w:val="none" w:sz="0" w:space="0" w:color="auto"/>
                    <w:bottom w:val="none" w:sz="0" w:space="0" w:color="auto"/>
                    <w:right w:val="none" w:sz="0" w:space="0" w:color="auto"/>
                  </w:divBdr>
                </w:div>
              </w:divsChild>
            </w:div>
            <w:div w:id="1529023543">
              <w:marLeft w:val="0"/>
              <w:marRight w:val="0"/>
              <w:marTop w:val="0"/>
              <w:marBottom w:val="0"/>
              <w:divBdr>
                <w:top w:val="none" w:sz="0" w:space="0" w:color="auto"/>
                <w:left w:val="none" w:sz="0" w:space="0" w:color="auto"/>
                <w:bottom w:val="none" w:sz="0" w:space="0" w:color="auto"/>
                <w:right w:val="none" w:sz="0" w:space="0" w:color="auto"/>
              </w:divBdr>
              <w:divsChild>
                <w:div w:id="888418855">
                  <w:marLeft w:val="0"/>
                  <w:marRight w:val="0"/>
                  <w:marTop w:val="0"/>
                  <w:marBottom w:val="0"/>
                  <w:divBdr>
                    <w:top w:val="none" w:sz="0" w:space="0" w:color="auto"/>
                    <w:left w:val="none" w:sz="0" w:space="0" w:color="auto"/>
                    <w:bottom w:val="none" w:sz="0" w:space="0" w:color="auto"/>
                    <w:right w:val="none" w:sz="0" w:space="0" w:color="auto"/>
                  </w:divBdr>
                </w:div>
                <w:div w:id="264583581">
                  <w:marLeft w:val="0"/>
                  <w:marRight w:val="0"/>
                  <w:marTop w:val="0"/>
                  <w:marBottom w:val="0"/>
                  <w:divBdr>
                    <w:top w:val="none" w:sz="0" w:space="0" w:color="auto"/>
                    <w:left w:val="none" w:sz="0" w:space="0" w:color="auto"/>
                    <w:bottom w:val="none" w:sz="0" w:space="0" w:color="auto"/>
                    <w:right w:val="none" w:sz="0" w:space="0" w:color="auto"/>
                  </w:divBdr>
                  <w:divsChild>
                    <w:div w:id="3568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27819">
      <w:bodyDiv w:val="1"/>
      <w:marLeft w:val="0"/>
      <w:marRight w:val="0"/>
      <w:marTop w:val="0"/>
      <w:marBottom w:val="0"/>
      <w:divBdr>
        <w:top w:val="none" w:sz="0" w:space="0" w:color="auto"/>
        <w:left w:val="none" w:sz="0" w:space="0" w:color="auto"/>
        <w:bottom w:val="none" w:sz="0" w:space="0" w:color="auto"/>
        <w:right w:val="none" w:sz="0" w:space="0" w:color="auto"/>
      </w:divBdr>
    </w:div>
    <w:div w:id="709451364">
      <w:bodyDiv w:val="1"/>
      <w:marLeft w:val="0"/>
      <w:marRight w:val="0"/>
      <w:marTop w:val="0"/>
      <w:marBottom w:val="0"/>
      <w:divBdr>
        <w:top w:val="none" w:sz="0" w:space="0" w:color="auto"/>
        <w:left w:val="none" w:sz="0" w:space="0" w:color="auto"/>
        <w:bottom w:val="none" w:sz="0" w:space="0" w:color="auto"/>
        <w:right w:val="none" w:sz="0" w:space="0" w:color="auto"/>
      </w:divBdr>
      <w:divsChild>
        <w:div w:id="2120098943">
          <w:marLeft w:val="0"/>
          <w:marRight w:val="0"/>
          <w:marTop w:val="0"/>
          <w:marBottom w:val="0"/>
          <w:divBdr>
            <w:top w:val="none" w:sz="0" w:space="0" w:color="auto"/>
            <w:left w:val="none" w:sz="0" w:space="0" w:color="auto"/>
            <w:bottom w:val="none" w:sz="0" w:space="0" w:color="auto"/>
            <w:right w:val="none" w:sz="0" w:space="0" w:color="auto"/>
          </w:divBdr>
          <w:divsChild>
            <w:div w:id="1400056511">
              <w:marLeft w:val="0"/>
              <w:marRight w:val="0"/>
              <w:marTop w:val="0"/>
              <w:marBottom w:val="0"/>
              <w:divBdr>
                <w:top w:val="none" w:sz="0" w:space="0" w:color="auto"/>
                <w:left w:val="none" w:sz="0" w:space="0" w:color="auto"/>
                <w:bottom w:val="none" w:sz="0" w:space="0" w:color="auto"/>
                <w:right w:val="none" w:sz="0" w:space="0" w:color="auto"/>
              </w:divBdr>
              <w:divsChild>
                <w:div w:id="1679498397">
                  <w:marLeft w:val="0"/>
                  <w:marRight w:val="0"/>
                  <w:marTop w:val="0"/>
                  <w:marBottom w:val="0"/>
                  <w:divBdr>
                    <w:top w:val="none" w:sz="0" w:space="0" w:color="auto"/>
                    <w:left w:val="none" w:sz="0" w:space="0" w:color="auto"/>
                    <w:bottom w:val="none" w:sz="0" w:space="0" w:color="auto"/>
                    <w:right w:val="none" w:sz="0" w:space="0" w:color="auto"/>
                  </w:divBdr>
                  <w:divsChild>
                    <w:div w:id="1004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5333">
          <w:marLeft w:val="0"/>
          <w:marRight w:val="0"/>
          <w:marTop w:val="0"/>
          <w:marBottom w:val="0"/>
          <w:divBdr>
            <w:top w:val="none" w:sz="0" w:space="0" w:color="auto"/>
            <w:left w:val="none" w:sz="0" w:space="0" w:color="auto"/>
            <w:bottom w:val="none" w:sz="0" w:space="0" w:color="auto"/>
            <w:right w:val="none" w:sz="0" w:space="0" w:color="auto"/>
          </w:divBdr>
        </w:div>
        <w:div w:id="1007441960">
          <w:marLeft w:val="0"/>
          <w:marRight w:val="0"/>
          <w:marTop w:val="0"/>
          <w:marBottom w:val="0"/>
          <w:divBdr>
            <w:top w:val="none" w:sz="0" w:space="0" w:color="auto"/>
            <w:left w:val="none" w:sz="0" w:space="0" w:color="auto"/>
            <w:bottom w:val="none" w:sz="0" w:space="0" w:color="auto"/>
            <w:right w:val="none" w:sz="0" w:space="0" w:color="auto"/>
          </w:divBdr>
          <w:divsChild>
            <w:div w:id="1573195308">
              <w:marLeft w:val="0"/>
              <w:marRight w:val="0"/>
              <w:marTop w:val="0"/>
              <w:marBottom w:val="0"/>
              <w:divBdr>
                <w:top w:val="none" w:sz="0" w:space="0" w:color="auto"/>
                <w:left w:val="none" w:sz="0" w:space="0" w:color="auto"/>
                <w:bottom w:val="none" w:sz="0" w:space="0" w:color="auto"/>
                <w:right w:val="none" w:sz="0" w:space="0" w:color="auto"/>
              </w:divBdr>
              <w:divsChild>
                <w:div w:id="1934628938">
                  <w:marLeft w:val="0"/>
                  <w:marRight w:val="0"/>
                  <w:marTop w:val="0"/>
                  <w:marBottom w:val="0"/>
                  <w:divBdr>
                    <w:top w:val="none" w:sz="0" w:space="0" w:color="auto"/>
                    <w:left w:val="none" w:sz="0" w:space="0" w:color="auto"/>
                    <w:bottom w:val="none" w:sz="0" w:space="0" w:color="auto"/>
                    <w:right w:val="none" w:sz="0" w:space="0" w:color="auto"/>
                  </w:divBdr>
                </w:div>
                <w:div w:id="1101220231">
                  <w:marLeft w:val="0"/>
                  <w:marRight w:val="0"/>
                  <w:marTop w:val="0"/>
                  <w:marBottom w:val="0"/>
                  <w:divBdr>
                    <w:top w:val="none" w:sz="0" w:space="0" w:color="auto"/>
                    <w:left w:val="none" w:sz="0" w:space="0" w:color="auto"/>
                    <w:bottom w:val="none" w:sz="0" w:space="0" w:color="auto"/>
                    <w:right w:val="none" w:sz="0" w:space="0" w:color="auto"/>
                  </w:divBdr>
                  <w:divsChild>
                    <w:div w:id="12782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50494">
      <w:bodyDiv w:val="1"/>
      <w:marLeft w:val="0"/>
      <w:marRight w:val="0"/>
      <w:marTop w:val="0"/>
      <w:marBottom w:val="0"/>
      <w:divBdr>
        <w:top w:val="none" w:sz="0" w:space="0" w:color="auto"/>
        <w:left w:val="none" w:sz="0" w:space="0" w:color="auto"/>
        <w:bottom w:val="none" w:sz="0" w:space="0" w:color="auto"/>
        <w:right w:val="none" w:sz="0" w:space="0" w:color="auto"/>
      </w:divBdr>
    </w:div>
    <w:div w:id="1459421415">
      <w:bodyDiv w:val="1"/>
      <w:marLeft w:val="0"/>
      <w:marRight w:val="0"/>
      <w:marTop w:val="0"/>
      <w:marBottom w:val="0"/>
      <w:divBdr>
        <w:top w:val="none" w:sz="0" w:space="0" w:color="auto"/>
        <w:left w:val="none" w:sz="0" w:space="0" w:color="auto"/>
        <w:bottom w:val="none" w:sz="0" w:space="0" w:color="auto"/>
        <w:right w:val="none" w:sz="0" w:space="0" w:color="auto"/>
      </w:divBdr>
    </w:div>
    <w:div w:id="1533693208">
      <w:bodyDiv w:val="1"/>
      <w:marLeft w:val="0"/>
      <w:marRight w:val="0"/>
      <w:marTop w:val="0"/>
      <w:marBottom w:val="0"/>
      <w:divBdr>
        <w:top w:val="none" w:sz="0" w:space="0" w:color="auto"/>
        <w:left w:val="none" w:sz="0" w:space="0" w:color="auto"/>
        <w:bottom w:val="none" w:sz="0" w:space="0" w:color="auto"/>
        <w:right w:val="none" w:sz="0" w:space="0" w:color="auto"/>
      </w:divBdr>
      <w:divsChild>
        <w:div w:id="1398163760">
          <w:marLeft w:val="0"/>
          <w:marRight w:val="0"/>
          <w:marTop w:val="0"/>
          <w:marBottom w:val="0"/>
          <w:divBdr>
            <w:top w:val="none" w:sz="0" w:space="0" w:color="auto"/>
            <w:left w:val="none" w:sz="0" w:space="0" w:color="auto"/>
            <w:bottom w:val="none" w:sz="0" w:space="0" w:color="auto"/>
            <w:right w:val="none" w:sz="0" w:space="0" w:color="auto"/>
          </w:divBdr>
          <w:divsChild>
            <w:div w:id="319308300">
              <w:marLeft w:val="0"/>
              <w:marRight w:val="0"/>
              <w:marTop w:val="0"/>
              <w:marBottom w:val="0"/>
              <w:divBdr>
                <w:top w:val="none" w:sz="0" w:space="0" w:color="auto"/>
                <w:left w:val="none" w:sz="0" w:space="0" w:color="auto"/>
                <w:bottom w:val="none" w:sz="0" w:space="0" w:color="auto"/>
                <w:right w:val="none" w:sz="0" w:space="0" w:color="auto"/>
              </w:divBdr>
              <w:divsChild>
                <w:div w:id="1110733876">
                  <w:marLeft w:val="0"/>
                  <w:marRight w:val="0"/>
                  <w:marTop w:val="0"/>
                  <w:marBottom w:val="0"/>
                  <w:divBdr>
                    <w:top w:val="none" w:sz="0" w:space="0" w:color="auto"/>
                    <w:left w:val="none" w:sz="0" w:space="0" w:color="auto"/>
                    <w:bottom w:val="none" w:sz="0" w:space="0" w:color="auto"/>
                    <w:right w:val="none" w:sz="0" w:space="0" w:color="auto"/>
                  </w:divBdr>
                  <w:divsChild>
                    <w:div w:id="10392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6918">
          <w:marLeft w:val="0"/>
          <w:marRight w:val="0"/>
          <w:marTop w:val="0"/>
          <w:marBottom w:val="0"/>
          <w:divBdr>
            <w:top w:val="none" w:sz="0" w:space="0" w:color="auto"/>
            <w:left w:val="none" w:sz="0" w:space="0" w:color="auto"/>
            <w:bottom w:val="none" w:sz="0" w:space="0" w:color="auto"/>
            <w:right w:val="none" w:sz="0" w:space="0" w:color="auto"/>
          </w:divBdr>
        </w:div>
        <w:div w:id="1992130131">
          <w:marLeft w:val="0"/>
          <w:marRight w:val="0"/>
          <w:marTop w:val="0"/>
          <w:marBottom w:val="0"/>
          <w:divBdr>
            <w:top w:val="none" w:sz="0" w:space="0" w:color="auto"/>
            <w:left w:val="none" w:sz="0" w:space="0" w:color="auto"/>
            <w:bottom w:val="none" w:sz="0" w:space="0" w:color="auto"/>
            <w:right w:val="none" w:sz="0" w:space="0" w:color="auto"/>
          </w:divBdr>
          <w:divsChild>
            <w:div w:id="596527249">
              <w:marLeft w:val="0"/>
              <w:marRight w:val="0"/>
              <w:marTop w:val="0"/>
              <w:marBottom w:val="0"/>
              <w:divBdr>
                <w:top w:val="none" w:sz="0" w:space="0" w:color="auto"/>
                <w:left w:val="none" w:sz="0" w:space="0" w:color="auto"/>
                <w:bottom w:val="none" w:sz="0" w:space="0" w:color="auto"/>
                <w:right w:val="none" w:sz="0" w:space="0" w:color="auto"/>
              </w:divBdr>
              <w:divsChild>
                <w:div w:id="36394198">
                  <w:marLeft w:val="0"/>
                  <w:marRight w:val="0"/>
                  <w:marTop w:val="0"/>
                  <w:marBottom w:val="0"/>
                  <w:divBdr>
                    <w:top w:val="none" w:sz="0" w:space="0" w:color="auto"/>
                    <w:left w:val="none" w:sz="0" w:space="0" w:color="auto"/>
                    <w:bottom w:val="none" w:sz="0" w:space="0" w:color="auto"/>
                    <w:right w:val="none" w:sz="0" w:space="0" w:color="auto"/>
                  </w:divBdr>
                </w:div>
                <w:div w:id="280914909">
                  <w:marLeft w:val="0"/>
                  <w:marRight w:val="0"/>
                  <w:marTop w:val="0"/>
                  <w:marBottom w:val="0"/>
                  <w:divBdr>
                    <w:top w:val="none" w:sz="0" w:space="0" w:color="auto"/>
                    <w:left w:val="none" w:sz="0" w:space="0" w:color="auto"/>
                    <w:bottom w:val="none" w:sz="0" w:space="0" w:color="auto"/>
                    <w:right w:val="none" w:sz="0" w:space="0" w:color="auto"/>
                  </w:divBdr>
                  <w:divsChild>
                    <w:div w:id="9310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558798">
      <w:bodyDiv w:val="1"/>
      <w:marLeft w:val="0"/>
      <w:marRight w:val="0"/>
      <w:marTop w:val="0"/>
      <w:marBottom w:val="0"/>
      <w:divBdr>
        <w:top w:val="none" w:sz="0" w:space="0" w:color="auto"/>
        <w:left w:val="none" w:sz="0" w:space="0" w:color="auto"/>
        <w:bottom w:val="none" w:sz="0" w:space="0" w:color="auto"/>
        <w:right w:val="none" w:sz="0" w:space="0" w:color="auto"/>
      </w:divBdr>
      <w:divsChild>
        <w:div w:id="799348324">
          <w:marLeft w:val="0"/>
          <w:marRight w:val="0"/>
          <w:marTop w:val="0"/>
          <w:marBottom w:val="0"/>
          <w:divBdr>
            <w:top w:val="none" w:sz="0" w:space="0" w:color="auto"/>
            <w:left w:val="none" w:sz="0" w:space="0" w:color="auto"/>
            <w:bottom w:val="none" w:sz="0" w:space="0" w:color="auto"/>
            <w:right w:val="none" w:sz="0" w:space="0" w:color="auto"/>
          </w:divBdr>
          <w:divsChild>
            <w:div w:id="1713965541">
              <w:marLeft w:val="0"/>
              <w:marRight w:val="0"/>
              <w:marTop w:val="0"/>
              <w:marBottom w:val="0"/>
              <w:divBdr>
                <w:top w:val="none" w:sz="0" w:space="0" w:color="auto"/>
                <w:left w:val="none" w:sz="0" w:space="0" w:color="auto"/>
                <w:bottom w:val="none" w:sz="0" w:space="0" w:color="auto"/>
                <w:right w:val="none" w:sz="0" w:space="0" w:color="auto"/>
              </w:divBdr>
              <w:divsChild>
                <w:div w:id="1108038494">
                  <w:marLeft w:val="0"/>
                  <w:marRight w:val="0"/>
                  <w:marTop w:val="0"/>
                  <w:marBottom w:val="0"/>
                  <w:divBdr>
                    <w:top w:val="none" w:sz="0" w:space="0" w:color="auto"/>
                    <w:left w:val="none" w:sz="0" w:space="0" w:color="auto"/>
                    <w:bottom w:val="none" w:sz="0" w:space="0" w:color="auto"/>
                    <w:right w:val="none" w:sz="0" w:space="0" w:color="auto"/>
                  </w:divBdr>
                  <w:divsChild>
                    <w:div w:id="3233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58594">
          <w:marLeft w:val="0"/>
          <w:marRight w:val="0"/>
          <w:marTop w:val="0"/>
          <w:marBottom w:val="0"/>
          <w:divBdr>
            <w:top w:val="none" w:sz="0" w:space="0" w:color="auto"/>
            <w:left w:val="none" w:sz="0" w:space="0" w:color="auto"/>
            <w:bottom w:val="none" w:sz="0" w:space="0" w:color="auto"/>
            <w:right w:val="none" w:sz="0" w:space="0" w:color="auto"/>
          </w:divBdr>
        </w:div>
        <w:div w:id="1630161644">
          <w:marLeft w:val="0"/>
          <w:marRight w:val="0"/>
          <w:marTop w:val="0"/>
          <w:marBottom w:val="0"/>
          <w:divBdr>
            <w:top w:val="none" w:sz="0" w:space="0" w:color="auto"/>
            <w:left w:val="none" w:sz="0" w:space="0" w:color="auto"/>
            <w:bottom w:val="none" w:sz="0" w:space="0" w:color="auto"/>
            <w:right w:val="none" w:sz="0" w:space="0" w:color="auto"/>
          </w:divBdr>
          <w:divsChild>
            <w:div w:id="90324595">
              <w:marLeft w:val="0"/>
              <w:marRight w:val="0"/>
              <w:marTop w:val="0"/>
              <w:marBottom w:val="0"/>
              <w:divBdr>
                <w:top w:val="none" w:sz="0" w:space="0" w:color="auto"/>
                <w:left w:val="none" w:sz="0" w:space="0" w:color="auto"/>
                <w:bottom w:val="none" w:sz="0" w:space="0" w:color="auto"/>
                <w:right w:val="none" w:sz="0" w:space="0" w:color="auto"/>
              </w:divBdr>
              <w:divsChild>
                <w:div w:id="1713048">
                  <w:marLeft w:val="0"/>
                  <w:marRight w:val="0"/>
                  <w:marTop w:val="0"/>
                  <w:marBottom w:val="0"/>
                  <w:divBdr>
                    <w:top w:val="none" w:sz="0" w:space="0" w:color="auto"/>
                    <w:left w:val="none" w:sz="0" w:space="0" w:color="auto"/>
                    <w:bottom w:val="none" w:sz="0" w:space="0" w:color="auto"/>
                    <w:right w:val="none" w:sz="0" w:space="0" w:color="auto"/>
                  </w:divBdr>
                </w:div>
                <w:div w:id="77990112">
                  <w:marLeft w:val="0"/>
                  <w:marRight w:val="0"/>
                  <w:marTop w:val="0"/>
                  <w:marBottom w:val="0"/>
                  <w:divBdr>
                    <w:top w:val="none" w:sz="0" w:space="0" w:color="auto"/>
                    <w:left w:val="none" w:sz="0" w:space="0" w:color="auto"/>
                    <w:bottom w:val="none" w:sz="0" w:space="0" w:color="auto"/>
                    <w:right w:val="none" w:sz="0" w:space="0" w:color="auto"/>
                  </w:divBdr>
                  <w:divsChild>
                    <w:div w:id="5988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settings" Target="settings.xml"/><Relationship Id="rId7" Type="http://schemas.openxmlformats.org/officeDocument/2006/relationships/hyperlink" Target="mailto:henn@drgaup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5834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8</cp:revision>
  <dcterms:created xsi:type="dcterms:W3CDTF">2020-10-13T10:02:00Z</dcterms:created>
  <dcterms:modified xsi:type="dcterms:W3CDTF">2020-11-04T09:05:00Z</dcterms:modified>
</cp:coreProperties>
</file>