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34" w:rsidRPr="0076785E" w:rsidRDefault="00DA7D34" w:rsidP="00DA7D34">
      <w:pPr>
        <w:tabs>
          <w:tab w:val="center" w:pos="4536"/>
          <w:tab w:val="right" w:pos="9072"/>
        </w:tabs>
        <w:jc w:val="right"/>
        <w:rPr>
          <w:rFonts w:ascii="Arial" w:eastAsia="Times New Roman" w:hAnsi="Arial" w:cs="Arial"/>
        </w:rPr>
      </w:pPr>
      <w:r w:rsidRPr="0076785E">
        <w:rPr>
          <w:rFonts w:ascii="Arial" w:eastAsia="Times New Roman" w:hAnsi="Arial" w:cs="Arial"/>
          <w:b/>
          <w:bCs/>
          <w:sz w:val="40"/>
          <w:szCs w:val="40"/>
        </w:rPr>
        <w:t>DASV</w:t>
      </w:r>
    </w:p>
    <w:p w:rsidR="00DA7D34" w:rsidRPr="0076785E" w:rsidRDefault="00DA7D34" w:rsidP="00DA7D34">
      <w:pPr>
        <w:jc w:val="right"/>
        <w:rPr>
          <w:rFonts w:ascii="Arial" w:eastAsia="Times New Roman" w:hAnsi="Arial" w:cs="Arial"/>
          <w:sz w:val="20"/>
          <w:szCs w:val="20"/>
        </w:rPr>
      </w:pPr>
      <w:bookmarkStart w:id="0" w:name="2"/>
      <w:bookmarkStart w:id="1" w:name="9"/>
      <w:bookmarkEnd w:id="0"/>
      <w:bookmarkEnd w:id="1"/>
      <w:r w:rsidRPr="0076785E">
        <w:rPr>
          <w:rFonts w:ascii="Arial" w:eastAsia="Times New Roman" w:hAnsi="Arial" w:cs="Arial"/>
          <w:sz w:val="20"/>
          <w:szCs w:val="20"/>
        </w:rPr>
        <w:t>Deutsche Anwalts- und</w:t>
      </w:r>
    </w:p>
    <w:p w:rsidR="00DA7D34" w:rsidRPr="0076785E" w:rsidRDefault="00DA7D34" w:rsidP="00DA7D34">
      <w:pPr>
        <w:jc w:val="right"/>
        <w:rPr>
          <w:rFonts w:ascii="Arial" w:eastAsia="Times New Roman" w:hAnsi="Arial" w:cs="Arial"/>
          <w:sz w:val="20"/>
          <w:szCs w:val="20"/>
        </w:rPr>
      </w:pPr>
      <w:r w:rsidRPr="0076785E">
        <w:rPr>
          <w:rFonts w:ascii="Arial" w:eastAsia="Times New Roman" w:hAnsi="Arial" w:cs="Arial"/>
          <w:sz w:val="20"/>
          <w:szCs w:val="20"/>
        </w:rPr>
        <w:t>Steuerberatervereinigung</w:t>
      </w:r>
    </w:p>
    <w:p w:rsidR="00DA7D34" w:rsidRPr="0076785E" w:rsidRDefault="00DA7D34" w:rsidP="00DA7D34">
      <w:pPr>
        <w:jc w:val="right"/>
        <w:rPr>
          <w:rFonts w:ascii="Arial" w:eastAsia="Times New Roman" w:hAnsi="Arial" w:cs="Arial"/>
          <w:sz w:val="20"/>
          <w:szCs w:val="20"/>
        </w:rPr>
      </w:pPr>
      <w:r w:rsidRPr="0076785E">
        <w:rPr>
          <w:rFonts w:ascii="Arial" w:eastAsia="Times New Roman" w:hAnsi="Arial" w:cs="Arial"/>
          <w:sz w:val="20"/>
          <w:szCs w:val="20"/>
        </w:rPr>
        <w:t>für die mittelständische</w:t>
      </w:r>
    </w:p>
    <w:p w:rsidR="00DA7D34" w:rsidRPr="0076785E" w:rsidRDefault="00DA7D34" w:rsidP="00DA7D34">
      <w:pPr>
        <w:spacing w:line="360" w:lineRule="auto"/>
        <w:jc w:val="right"/>
        <w:rPr>
          <w:rFonts w:ascii="Arial" w:eastAsia="Times New Roman" w:hAnsi="Arial" w:cs="Arial"/>
          <w:sz w:val="20"/>
          <w:szCs w:val="20"/>
        </w:rPr>
      </w:pPr>
      <w:r w:rsidRPr="0076785E">
        <w:rPr>
          <w:rFonts w:ascii="Arial" w:eastAsia="Times New Roman" w:hAnsi="Arial" w:cs="Arial"/>
          <w:sz w:val="20"/>
          <w:szCs w:val="20"/>
        </w:rPr>
        <w:t>Wirtschaft e. V.</w:t>
      </w:r>
    </w:p>
    <w:p w:rsidR="00DA7D34" w:rsidRPr="0076785E" w:rsidRDefault="00DA7D34" w:rsidP="00DA7D34">
      <w:pPr>
        <w:jc w:val="center"/>
        <w:rPr>
          <w:rFonts w:ascii="Arial" w:eastAsia="Times New Roman" w:hAnsi="Arial" w:cs="Arial"/>
          <w:b/>
          <w:bCs/>
          <w:sz w:val="20"/>
          <w:szCs w:val="20"/>
        </w:rPr>
      </w:pPr>
    </w:p>
    <w:p w:rsidR="00DA7D34" w:rsidRPr="0076785E" w:rsidRDefault="00DA7D34" w:rsidP="00DA7D34">
      <w:pPr>
        <w:jc w:val="center"/>
        <w:rPr>
          <w:rFonts w:ascii="Arial" w:eastAsia="Times New Roman" w:hAnsi="Arial" w:cs="Arial"/>
          <w:b/>
          <w:bCs/>
          <w:sz w:val="20"/>
          <w:szCs w:val="20"/>
        </w:rPr>
      </w:pPr>
      <w:r w:rsidRPr="0076785E">
        <w:rPr>
          <w:rFonts w:ascii="Arial" w:eastAsia="Times New Roman" w:hAnsi="Arial" w:cs="Arial"/>
          <w:b/>
          <w:bCs/>
          <w:sz w:val="20"/>
          <w:szCs w:val="20"/>
        </w:rPr>
        <w:t>10 Urteile, die Ihre Leser interessieren könnten</w:t>
      </w:r>
    </w:p>
    <w:p w:rsidR="00DA7D34" w:rsidRPr="0076785E" w:rsidRDefault="00DA7D34" w:rsidP="00DA7D34">
      <w:pPr>
        <w:jc w:val="both"/>
        <w:rPr>
          <w:rFonts w:ascii="Arial" w:eastAsia="Times New Roman" w:hAnsi="Arial" w:cs="Arial"/>
          <w:bCs/>
          <w:sz w:val="20"/>
          <w:szCs w:val="20"/>
        </w:rPr>
      </w:pPr>
    </w:p>
    <w:p w:rsidR="00DA7D34" w:rsidRPr="0076785E" w:rsidRDefault="00DA7D34" w:rsidP="00DA7D34">
      <w:pPr>
        <w:jc w:val="center"/>
        <w:rPr>
          <w:rFonts w:ascii="Arial" w:eastAsia="Times New Roman" w:hAnsi="Arial" w:cs="Arial"/>
          <w:sz w:val="20"/>
          <w:szCs w:val="20"/>
        </w:rPr>
      </w:pPr>
      <w:r w:rsidRPr="0076785E">
        <w:rPr>
          <w:rFonts w:ascii="Arial" w:eastAsia="Times New Roman" w:hAnsi="Arial" w:cs="Arial"/>
          <w:sz w:val="20"/>
          <w:szCs w:val="20"/>
        </w:rPr>
        <w:t>zusammengestellt von Rechtsanwalt/Fachanwalt für Arbeitsrecht u. Fachanwalt für Erbrecht</w:t>
      </w:r>
    </w:p>
    <w:p w:rsidR="00DA7D34" w:rsidRPr="0076785E" w:rsidRDefault="00DA7D34" w:rsidP="00DA7D34">
      <w:pPr>
        <w:ind w:right="540"/>
        <w:jc w:val="center"/>
        <w:rPr>
          <w:rFonts w:ascii="Arial" w:eastAsia="Times New Roman" w:hAnsi="Arial" w:cs="Arial"/>
          <w:bCs/>
          <w:sz w:val="20"/>
          <w:szCs w:val="20"/>
        </w:rPr>
      </w:pPr>
      <w:r w:rsidRPr="0076785E">
        <w:rPr>
          <w:rFonts w:ascii="Arial" w:eastAsia="Times New Roman" w:hAnsi="Arial" w:cs="Arial"/>
          <w:bCs/>
          <w:sz w:val="20"/>
          <w:szCs w:val="20"/>
        </w:rPr>
        <w:t>Michael Henn, Stuttgart</w:t>
      </w:r>
    </w:p>
    <w:p w:rsidR="00EE2FF8" w:rsidRDefault="00EE2FF8" w:rsidP="00DA7D34">
      <w:pPr>
        <w:pStyle w:val="StandardWeb"/>
        <w:spacing w:before="0" w:beforeAutospacing="0" w:after="0" w:afterAutospacing="0"/>
        <w:rPr>
          <w:rFonts w:ascii="Arial" w:hAnsi="Arial" w:cs="Arial"/>
          <w:sz w:val="20"/>
        </w:rPr>
      </w:pPr>
    </w:p>
    <w:p w:rsidR="00DA7D34" w:rsidRDefault="00DA7D34" w:rsidP="00DA7D34">
      <w:pPr>
        <w:pStyle w:val="StandardWeb"/>
        <w:spacing w:before="0" w:beforeAutospacing="0" w:after="0" w:afterAutospacing="0"/>
        <w:jc w:val="center"/>
        <w:rPr>
          <w:rFonts w:ascii="Arial" w:hAnsi="Arial" w:cs="Arial"/>
          <w:b/>
          <w:sz w:val="20"/>
        </w:rPr>
      </w:pPr>
      <w:r w:rsidRPr="00DA7D34">
        <w:rPr>
          <w:rFonts w:ascii="Arial" w:hAnsi="Arial" w:cs="Arial"/>
          <w:b/>
          <w:sz w:val="20"/>
        </w:rPr>
        <w:t>I.</w:t>
      </w:r>
    </w:p>
    <w:p w:rsidR="00DA7D34" w:rsidRPr="00DA7D34" w:rsidRDefault="00DA7D34" w:rsidP="00DA7D34">
      <w:pPr>
        <w:pStyle w:val="StandardWeb"/>
        <w:spacing w:before="0" w:beforeAutospacing="0" w:after="0" w:afterAutospacing="0"/>
        <w:jc w:val="center"/>
        <w:rPr>
          <w:rFonts w:ascii="Arial" w:hAnsi="Arial" w:cs="Arial"/>
          <w:b/>
          <w:sz w:val="20"/>
        </w:rPr>
      </w:pPr>
      <w:r w:rsidRPr="00DA7D34">
        <w:rPr>
          <w:rFonts w:ascii="Arial" w:hAnsi="Arial" w:cs="Arial"/>
          <w:b/>
          <w:sz w:val="20"/>
        </w:rPr>
        <w:t>Versicherungsrecht: Anforderungen der sogenannten strengen Wiederherstellungsklausel</w:t>
      </w:r>
    </w:p>
    <w:p w:rsidR="00DA7D34" w:rsidRPr="00DA7D34" w:rsidRDefault="00DA7D34" w:rsidP="00DA7D34">
      <w:pPr>
        <w:pStyle w:val="StandardWeb"/>
        <w:spacing w:before="0" w:beforeAutospacing="0" w:after="0" w:afterAutospacing="0"/>
        <w:jc w:val="center"/>
        <w:rPr>
          <w:rFonts w:ascii="Arial" w:hAnsi="Arial" w:cs="Arial"/>
          <w:sz w:val="20"/>
        </w:rPr>
      </w:pPr>
      <w:r w:rsidRPr="00DA7D34">
        <w:rPr>
          <w:rFonts w:ascii="Arial" w:hAnsi="Arial" w:cs="Arial"/>
          <w:sz w:val="20"/>
        </w:rPr>
        <w:t>Schleswig-Holsteinisches Oberlandesgericht, Urteil vom 18. November 2019</w:t>
      </w:r>
      <w:r>
        <w:rPr>
          <w:rFonts w:ascii="Arial" w:hAnsi="Arial" w:cs="Arial"/>
          <w:sz w:val="20"/>
        </w:rPr>
        <w:t xml:space="preserve">, Az. </w:t>
      </w:r>
      <w:r w:rsidRPr="00DA7D34">
        <w:rPr>
          <w:rFonts w:ascii="Arial" w:hAnsi="Arial" w:cs="Arial"/>
          <w:sz w:val="20"/>
        </w:rPr>
        <w:t>16 U 22/19</w:t>
      </w:r>
    </w:p>
    <w:p w:rsidR="00DA7D34" w:rsidRDefault="00DA7D34" w:rsidP="00DA7D34">
      <w:pPr>
        <w:pStyle w:val="StandardWeb"/>
        <w:spacing w:before="0" w:beforeAutospacing="0" w:after="0" w:afterAutospacing="0"/>
        <w:rPr>
          <w:rFonts w:ascii="Arial" w:hAnsi="Arial" w:cs="Arial"/>
          <w:sz w:val="20"/>
        </w:rPr>
      </w:pPr>
    </w:p>
    <w:p w:rsidR="00DA7D34" w:rsidRDefault="00DA7D34" w:rsidP="00DA7D34">
      <w:pPr>
        <w:pStyle w:val="StandardWeb"/>
        <w:spacing w:before="0" w:beforeAutospacing="0" w:after="0" w:afterAutospacing="0"/>
        <w:jc w:val="both"/>
        <w:rPr>
          <w:rFonts w:ascii="Arial" w:hAnsi="Arial" w:cs="Arial"/>
          <w:sz w:val="20"/>
        </w:rPr>
      </w:pPr>
      <w:r w:rsidRPr="00DA7D34">
        <w:rPr>
          <w:rFonts w:ascii="Arial" w:hAnsi="Arial" w:cs="Arial"/>
          <w:sz w:val="20"/>
        </w:rPr>
        <w:t>1. Eine Sicherstellung der Wiederherstellung der versicherten Sache in gleicher Art und Zweckbestimmung im Sinne der sog. strengen Wiederherstellungsklausel in der Wohngebäudeversicherung ist nicht gegeben, wenn innerhalb der maßgeblichen Frist von 3 Jahren lediglich ein Fundament errichtet und eine Baugenehmigung nebst Antragsunterlagen vorgelegt wird.</w:t>
      </w:r>
    </w:p>
    <w:p w:rsidR="00DA7D34" w:rsidRDefault="00DA7D34" w:rsidP="00DA7D34">
      <w:pPr>
        <w:pStyle w:val="StandardWeb"/>
        <w:spacing w:before="0" w:beforeAutospacing="0" w:after="0" w:afterAutospacing="0"/>
        <w:jc w:val="both"/>
        <w:rPr>
          <w:rFonts w:ascii="Arial" w:hAnsi="Arial" w:cs="Arial"/>
          <w:sz w:val="20"/>
        </w:rPr>
      </w:pPr>
      <w:r w:rsidRPr="00DA7D34">
        <w:rPr>
          <w:rFonts w:ascii="Arial" w:hAnsi="Arial" w:cs="Arial"/>
          <w:sz w:val="20"/>
        </w:rPr>
        <w:t>2. Es liegt keine Gleichartigkeit der beabsichtigten Wiederherstellung vor, wenn ein aus fünf Bauteilen bestehendes ungenutztes ehemaliges landwirtschaftliches Nebengebäude ohne Strom, Wasser und Verschlussmöglichkeiten durch eine moderne, um mehr als 55 % größere unterteilte Mehrzweckhalle ersetzt werden soll.</w:t>
      </w:r>
    </w:p>
    <w:p w:rsidR="00DA7D34" w:rsidRDefault="00DA7D34" w:rsidP="00DA7D34">
      <w:pPr>
        <w:pStyle w:val="StandardWeb"/>
        <w:spacing w:before="0" w:beforeAutospacing="0" w:after="0" w:afterAutospacing="0"/>
        <w:jc w:val="both"/>
        <w:rPr>
          <w:rFonts w:ascii="Arial" w:hAnsi="Arial" w:cs="Arial"/>
          <w:sz w:val="20"/>
        </w:rPr>
      </w:pPr>
      <w:r w:rsidRPr="00DA7D34">
        <w:rPr>
          <w:rFonts w:ascii="Arial" w:hAnsi="Arial" w:cs="Arial"/>
          <w:sz w:val="20"/>
        </w:rPr>
        <w:t>3. Die Erstattung von Mehrkosten aufgrund behördlicher Auflagen für die Wiederherstellung der versicherten und vom Schaden betroffenen Sache (hier: der Bau eines Löschwasserbrunnens) scheidet aus, wenn es an der bedingungsgemäßen Wiederherstellung der versicherten Hauptsache fehlt.</w:t>
      </w:r>
    </w:p>
    <w:p w:rsidR="00DA7D34" w:rsidRDefault="00DA7D34" w:rsidP="00DA7D34">
      <w:pPr>
        <w:pStyle w:val="StandardWeb"/>
        <w:spacing w:before="0" w:beforeAutospacing="0" w:after="0" w:afterAutospacing="0"/>
        <w:rPr>
          <w:rFonts w:ascii="Arial" w:hAnsi="Arial" w:cs="Arial"/>
          <w:sz w:val="20"/>
        </w:rPr>
      </w:pPr>
    </w:p>
    <w:p w:rsidR="00DA7D34" w:rsidRDefault="00DA7D34" w:rsidP="00DA7D34">
      <w:pPr>
        <w:pStyle w:val="StandardWeb"/>
        <w:spacing w:before="0" w:beforeAutospacing="0" w:after="0" w:afterAutospacing="0"/>
        <w:jc w:val="center"/>
        <w:rPr>
          <w:rFonts w:ascii="Arial" w:hAnsi="Arial" w:cs="Arial"/>
          <w:b/>
          <w:sz w:val="20"/>
        </w:rPr>
      </w:pPr>
      <w:r w:rsidRPr="00DA7D34">
        <w:rPr>
          <w:rFonts w:ascii="Arial" w:hAnsi="Arial" w:cs="Arial"/>
          <w:b/>
          <w:sz w:val="20"/>
        </w:rPr>
        <w:t>II.</w:t>
      </w:r>
    </w:p>
    <w:p w:rsidR="00DA7D34" w:rsidRPr="00DA7D34" w:rsidRDefault="00DA7D34" w:rsidP="00DA7D34">
      <w:pPr>
        <w:pStyle w:val="StandardWeb"/>
        <w:spacing w:before="0" w:beforeAutospacing="0" w:after="0" w:afterAutospacing="0"/>
        <w:jc w:val="center"/>
        <w:rPr>
          <w:rFonts w:ascii="Arial" w:hAnsi="Arial" w:cs="Arial"/>
          <w:b/>
          <w:sz w:val="20"/>
        </w:rPr>
      </w:pPr>
      <w:r w:rsidRPr="00DA7D34">
        <w:rPr>
          <w:rFonts w:ascii="Arial" w:hAnsi="Arial" w:cs="Arial"/>
          <w:b/>
          <w:sz w:val="20"/>
        </w:rPr>
        <w:t>Anwendbarkeit der Mindestsätze der HOAI bei Europarechtswidrigkeit</w:t>
      </w:r>
    </w:p>
    <w:p w:rsidR="00DA7D34" w:rsidRPr="00DA7D34" w:rsidRDefault="00DA7D34" w:rsidP="00DA7D34">
      <w:pPr>
        <w:pStyle w:val="StandardWeb"/>
        <w:spacing w:before="0" w:beforeAutospacing="0" w:after="0" w:afterAutospacing="0"/>
        <w:jc w:val="center"/>
        <w:rPr>
          <w:rFonts w:ascii="Arial" w:hAnsi="Arial" w:cs="Arial"/>
          <w:sz w:val="20"/>
        </w:rPr>
      </w:pPr>
      <w:r w:rsidRPr="00DA7D34">
        <w:rPr>
          <w:rFonts w:ascii="Arial" w:hAnsi="Arial" w:cs="Arial"/>
          <w:sz w:val="20"/>
        </w:rPr>
        <w:t>Schleswig-Holsteinisches Oberlandesgericht, Urteil vom 25. Oktober 2019</w:t>
      </w:r>
      <w:r>
        <w:rPr>
          <w:rFonts w:ascii="Arial" w:hAnsi="Arial" w:cs="Arial"/>
          <w:sz w:val="20"/>
        </w:rPr>
        <w:t>, Az. 1 U 74/18</w:t>
      </w:r>
    </w:p>
    <w:p w:rsidR="00DA7D34" w:rsidRDefault="00DA7D34" w:rsidP="00DA7D34">
      <w:pPr>
        <w:pStyle w:val="StandardWeb"/>
        <w:spacing w:before="0" w:beforeAutospacing="0" w:after="0" w:afterAutospacing="0"/>
        <w:rPr>
          <w:rFonts w:ascii="Arial" w:hAnsi="Arial" w:cs="Arial"/>
          <w:sz w:val="20"/>
        </w:rPr>
      </w:pPr>
    </w:p>
    <w:p w:rsidR="00DA7D34" w:rsidRPr="00DA7D34" w:rsidRDefault="00DA7D34" w:rsidP="00DA7D34">
      <w:pPr>
        <w:pStyle w:val="StandardWeb"/>
        <w:spacing w:before="0" w:beforeAutospacing="0" w:after="0" w:afterAutospacing="0"/>
        <w:jc w:val="both"/>
        <w:rPr>
          <w:rFonts w:ascii="Arial" w:hAnsi="Arial" w:cs="Arial"/>
          <w:sz w:val="20"/>
        </w:rPr>
      </w:pPr>
      <w:r w:rsidRPr="00DA7D34">
        <w:rPr>
          <w:rFonts w:ascii="Arial" w:hAnsi="Arial" w:cs="Arial"/>
          <w:sz w:val="20"/>
        </w:rPr>
        <w:t xml:space="preserve">1. Eine signifikante Einschränkung der Lebensführung, die zu einer Nutzungsentschädigung führt, kann auch dann gegeben sein, wenn zwar weiterhin ausreichender Wohnraum zur Verfügung steht, der nach dem Vertrag nutzbare Wohnraum aber um ein Drittel größer sein sollte und die Anordnung der nicht nutzbaren Räume aufgrund der bevorstehenden Geburt eines Kindes von Bedeutung ist. </w:t>
      </w:r>
    </w:p>
    <w:p w:rsidR="00DA7D34" w:rsidRDefault="00DA7D34" w:rsidP="00DA7D34">
      <w:pPr>
        <w:pStyle w:val="StandardWeb"/>
        <w:spacing w:before="0" w:beforeAutospacing="0" w:after="0" w:afterAutospacing="0"/>
        <w:jc w:val="both"/>
        <w:rPr>
          <w:rFonts w:ascii="Arial" w:hAnsi="Arial" w:cs="Arial"/>
          <w:sz w:val="20"/>
        </w:rPr>
      </w:pPr>
      <w:r w:rsidRPr="00DA7D34">
        <w:rPr>
          <w:rFonts w:ascii="Arial" w:hAnsi="Arial" w:cs="Arial"/>
          <w:sz w:val="20"/>
        </w:rPr>
        <w:t>2. Die Mindestsätze der HOAI sind wegen Verstoßes gegen europäisches Gemeinschaftsrecht auch in Altfällen nicht mehr anwendbar.</w:t>
      </w:r>
    </w:p>
    <w:p w:rsidR="00DA7D34" w:rsidRDefault="00DA7D34" w:rsidP="00DA7D34">
      <w:pPr>
        <w:pStyle w:val="StandardWeb"/>
        <w:spacing w:before="0" w:beforeAutospacing="0" w:after="0" w:afterAutospacing="0"/>
        <w:jc w:val="both"/>
        <w:rPr>
          <w:rFonts w:ascii="Arial" w:hAnsi="Arial" w:cs="Arial"/>
          <w:sz w:val="20"/>
        </w:rPr>
      </w:pPr>
    </w:p>
    <w:p w:rsidR="00DA7D34" w:rsidRDefault="00DA7D34" w:rsidP="00DA7D34">
      <w:pPr>
        <w:pStyle w:val="StandardWeb"/>
        <w:spacing w:before="0" w:beforeAutospacing="0" w:after="0" w:afterAutospacing="0"/>
        <w:jc w:val="center"/>
        <w:rPr>
          <w:rFonts w:ascii="Arial" w:hAnsi="Arial" w:cs="Arial"/>
          <w:b/>
          <w:sz w:val="20"/>
        </w:rPr>
      </w:pPr>
      <w:r w:rsidRPr="00DA7D34">
        <w:rPr>
          <w:rFonts w:ascii="Arial" w:hAnsi="Arial" w:cs="Arial"/>
          <w:b/>
          <w:sz w:val="20"/>
        </w:rPr>
        <w:t>III.</w:t>
      </w:r>
    </w:p>
    <w:p w:rsidR="00EF6D35" w:rsidRDefault="00EF6D35" w:rsidP="00DA7D34">
      <w:pPr>
        <w:pStyle w:val="StandardWeb"/>
        <w:spacing w:before="0" w:beforeAutospacing="0" w:after="0" w:afterAutospacing="0"/>
        <w:jc w:val="center"/>
        <w:rPr>
          <w:rFonts w:ascii="Arial" w:hAnsi="Arial" w:cs="Arial"/>
          <w:b/>
          <w:sz w:val="20"/>
        </w:rPr>
      </w:pPr>
      <w:proofErr w:type="spellStart"/>
      <w:r>
        <w:rPr>
          <w:rFonts w:ascii="Arial" w:hAnsi="Arial" w:cs="Arial"/>
          <w:b/>
          <w:sz w:val="20"/>
        </w:rPr>
        <w:t>Beschlußfassung</w:t>
      </w:r>
      <w:proofErr w:type="spellEnd"/>
      <w:r>
        <w:rPr>
          <w:rFonts w:ascii="Arial" w:hAnsi="Arial" w:cs="Arial"/>
          <w:b/>
          <w:sz w:val="20"/>
        </w:rPr>
        <w:t xml:space="preserve"> WEG</w:t>
      </w:r>
    </w:p>
    <w:p w:rsidR="00DA7D34" w:rsidRDefault="00DA7D34" w:rsidP="00DA7D34">
      <w:pPr>
        <w:pStyle w:val="StandardWeb"/>
        <w:spacing w:before="0" w:beforeAutospacing="0" w:after="0" w:afterAutospacing="0"/>
        <w:jc w:val="center"/>
        <w:rPr>
          <w:rFonts w:ascii="Arial" w:hAnsi="Arial" w:cs="Arial"/>
          <w:sz w:val="20"/>
        </w:rPr>
      </w:pPr>
      <w:r w:rsidRPr="00DA7D34">
        <w:rPr>
          <w:rFonts w:ascii="Arial" w:hAnsi="Arial" w:cs="Arial"/>
          <w:sz w:val="20"/>
        </w:rPr>
        <w:t>BGH, Urteil vom 20. September 2019</w:t>
      </w:r>
      <w:r>
        <w:rPr>
          <w:rFonts w:ascii="Arial" w:hAnsi="Arial" w:cs="Arial"/>
          <w:sz w:val="20"/>
        </w:rPr>
        <w:t>, Az. V ZR 258/18</w:t>
      </w:r>
    </w:p>
    <w:p w:rsidR="00DA7D34" w:rsidRPr="00DA7D34" w:rsidRDefault="00DA7D34" w:rsidP="00DA7D34">
      <w:pPr>
        <w:pStyle w:val="StandardWeb"/>
        <w:spacing w:before="0" w:beforeAutospacing="0" w:after="0" w:afterAutospacing="0"/>
        <w:jc w:val="both"/>
        <w:rPr>
          <w:rFonts w:ascii="Arial" w:hAnsi="Arial" w:cs="Arial"/>
          <w:sz w:val="20"/>
        </w:rPr>
      </w:pPr>
    </w:p>
    <w:p w:rsidR="00DA7D34" w:rsidRPr="00DA7D34" w:rsidRDefault="00DA7D34" w:rsidP="00DA7D34">
      <w:pPr>
        <w:pStyle w:val="StandardWeb"/>
        <w:spacing w:before="0" w:beforeAutospacing="0" w:after="0" w:afterAutospacing="0"/>
        <w:jc w:val="both"/>
        <w:rPr>
          <w:rFonts w:ascii="Arial" w:hAnsi="Arial" w:cs="Arial"/>
          <w:sz w:val="20"/>
        </w:rPr>
      </w:pPr>
      <w:r w:rsidRPr="00DA7D34">
        <w:rPr>
          <w:rFonts w:ascii="Arial" w:hAnsi="Arial" w:cs="Arial"/>
          <w:sz w:val="20"/>
        </w:rPr>
        <w:t>1. Der Begriff der Verwaltung im Sinne von §</w:t>
      </w:r>
      <w:r>
        <w:rPr>
          <w:rFonts w:ascii="Arial" w:hAnsi="Arial" w:cs="Arial"/>
          <w:sz w:val="20"/>
        </w:rPr>
        <w:t xml:space="preserve"> </w:t>
      </w:r>
      <w:r w:rsidRPr="00DA7D34">
        <w:rPr>
          <w:rFonts w:ascii="Arial" w:hAnsi="Arial" w:cs="Arial"/>
          <w:sz w:val="20"/>
        </w:rPr>
        <w:t>21 WEG ist weit zu verstehen und umfasst deshalb regelmäßig auch Maßnahmen, die eine Veränderung der sachenrechtlichen Grundlagen der Gemeinschaft vorbereiten sollen, damit die Wohnungseigentümer diese anschließend aus eigenem Entschluss umsetzen können; solche Maßnahmen können mehrheitlich beschlossen werden.</w:t>
      </w:r>
    </w:p>
    <w:p w:rsidR="00DA7D34" w:rsidRPr="00DA7D34" w:rsidRDefault="00DA7D34" w:rsidP="00DA7D34">
      <w:pPr>
        <w:pStyle w:val="StandardWeb"/>
        <w:spacing w:before="0" w:beforeAutospacing="0" w:after="0" w:afterAutospacing="0"/>
        <w:jc w:val="both"/>
        <w:rPr>
          <w:rFonts w:ascii="Arial" w:hAnsi="Arial" w:cs="Arial"/>
          <w:sz w:val="20"/>
        </w:rPr>
      </w:pPr>
      <w:r w:rsidRPr="00DA7D34">
        <w:rPr>
          <w:rFonts w:ascii="Arial" w:hAnsi="Arial" w:cs="Arial"/>
          <w:sz w:val="20"/>
        </w:rPr>
        <w:t>2. Allerdings müssen auch Beschlüsse dieser Art ordnungsmäßiger Verwaltung entsprechen. Daran wird es regelmäßig fehlen, wenn schon bei der Beschlussfassung absehbar ist, dass einzelne Wohnungseigentümer an der späteren Umsetzung nicht mitwirken werden und hierzu zweifelsfrei auch nicht (ausnahmsweise) verpflichtet sind, die mit der Vorbereitungsmaßnahme verbundenen Kosten also aller Voraussicht nach vergeblich aufgewendet werden.</w:t>
      </w:r>
    </w:p>
    <w:p w:rsidR="00DA7D34" w:rsidRDefault="00DA7D34" w:rsidP="00DA7D34">
      <w:pPr>
        <w:pStyle w:val="StandardWeb"/>
        <w:spacing w:before="0" w:beforeAutospacing="0" w:after="0" w:afterAutospacing="0"/>
        <w:rPr>
          <w:rFonts w:ascii="Arial" w:hAnsi="Arial" w:cs="Arial"/>
          <w:sz w:val="20"/>
        </w:rPr>
      </w:pPr>
    </w:p>
    <w:p w:rsidR="00DA7D34" w:rsidRDefault="00DA7D34" w:rsidP="00DA7D34">
      <w:pPr>
        <w:pStyle w:val="StandardWeb"/>
        <w:spacing w:before="0" w:beforeAutospacing="0" w:after="0" w:afterAutospacing="0"/>
        <w:jc w:val="center"/>
        <w:rPr>
          <w:rFonts w:ascii="Arial" w:hAnsi="Arial" w:cs="Arial"/>
          <w:b/>
          <w:sz w:val="20"/>
        </w:rPr>
      </w:pPr>
      <w:r w:rsidRPr="00DA7D34">
        <w:rPr>
          <w:rFonts w:ascii="Arial" w:hAnsi="Arial" w:cs="Arial"/>
          <w:b/>
          <w:sz w:val="20"/>
        </w:rPr>
        <w:t>IV.</w:t>
      </w:r>
    </w:p>
    <w:p w:rsidR="00DA7D34" w:rsidRPr="00DA7D34" w:rsidRDefault="00DA7D34" w:rsidP="00DA7D34">
      <w:pPr>
        <w:pStyle w:val="StandardWeb"/>
        <w:spacing w:before="0" w:beforeAutospacing="0" w:after="0" w:afterAutospacing="0"/>
        <w:jc w:val="center"/>
        <w:rPr>
          <w:rFonts w:ascii="Arial" w:hAnsi="Arial" w:cs="Arial"/>
          <w:b/>
          <w:sz w:val="20"/>
          <w:szCs w:val="20"/>
        </w:rPr>
      </w:pPr>
      <w:r w:rsidRPr="00DA7D34">
        <w:rPr>
          <w:rFonts w:ascii="Arial" w:hAnsi="Arial" w:cs="Arial"/>
          <w:b/>
          <w:sz w:val="20"/>
          <w:szCs w:val="20"/>
        </w:rPr>
        <w:t>Widerruf einer Schenkung wegen groben Undanks</w:t>
      </w:r>
    </w:p>
    <w:p w:rsidR="00DA7D34" w:rsidRPr="00DA7D34" w:rsidRDefault="00DA7D34" w:rsidP="00DA7D34">
      <w:pPr>
        <w:pStyle w:val="StandardWeb"/>
        <w:spacing w:before="0" w:beforeAutospacing="0" w:after="0" w:afterAutospacing="0"/>
        <w:jc w:val="center"/>
        <w:rPr>
          <w:rFonts w:ascii="Arial" w:hAnsi="Arial" w:cs="Arial"/>
          <w:sz w:val="20"/>
          <w:szCs w:val="20"/>
        </w:rPr>
      </w:pPr>
      <w:r w:rsidRPr="00DA7D34">
        <w:rPr>
          <w:rFonts w:ascii="Arial" w:hAnsi="Arial" w:cs="Arial"/>
          <w:sz w:val="20"/>
          <w:szCs w:val="20"/>
        </w:rPr>
        <w:t>BGH, Urteil vom 22.10.2019, Az. X ZR 48/17</w:t>
      </w:r>
    </w:p>
    <w:p w:rsidR="00DA7D34" w:rsidRPr="00DA7D34" w:rsidRDefault="00DA7D34" w:rsidP="00DA7D34">
      <w:pPr>
        <w:pStyle w:val="StandardWeb"/>
        <w:spacing w:before="0" w:beforeAutospacing="0" w:after="0" w:afterAutospacing="0"/>
        <w:jc w:val="both"/>
        <w:rPr>
          <w:rFonts w:ascii="Arial" w:hAnsi="Arial" w:cs="Arial"/>
          <w:sz w:val="20"/>
          <w:szCs w:val="20"/>
        </w:rPr>
      </w:pPr>
    </w:p>
    <w:p w:rsidR="00DA7D34" w:rsidRDefault="00DA7D34" w:rsidP="00DA7D34">
      <w:pPr>
        <w:jc w:val="both"/>
        <w:rPr>
          <w:rFonts w:ascii="Arial" w:hAnsi="Arial" w:cs="Arial"/>
          <w:sz w:val="20"/>
          <w:szCs w:val="20"/>
        </w:rPr>
      </w:pPr>
      <w:r>
        <w:rPr>
          <w:rFonts w:ascii="Arial" w:hAnsi="Arial" w:cs="Arial"/>
          <w:sz w:val="20"/>
          <w:szCs w:val="20"/>
        </w:rPr>
        <w:t xml:space="preserve">a) </w:t>
      </w:r>
      <w:r w:rsidRPr="00DA7D34">
        <w:rPr>
          <w:rFonts w:ascii="Arial" w:hAnsi="Arial" w:cs="Arial"/>
          <w:sz w:val="20"/>
          <w:szCs w:val="20"/>
        </w:rPr>
        <w:t>Der Widerruf einer Schenkung wegen groben Undanks bedarf keiner umfassenden rechtlichen Begründung. Die Erklärung muss den zugrundeliegenden Sachverhalt allenfalls so weit darstellen, dass der Beschenkte ihn von anderen Geschehnissen unterscheiden, die Einhaltung der der in § 532 BGB vorgesehenen Jahresfrist beurteilen und im Umkehrschluss erkennen kann, welche gegebenenfalls anderen Vorfälle der Schenker nicht zum Anlass für die Erklärung des Widerrufs genommen hat.</w:t>
      </w:r>
    </w:p>
    <w:p w:rsidR="00DA7D34" w:rsidRDefault="00DA7D34" w:rsidP="00DA7D34">
      <w:pPr>
        <w:jc w:val="both"/>
        <w:rPr>
          <w:rFonts w:ascii="Arial" w:hAnsi="Arial" w:cs="Arial"/>
          <w:sz w:val="20"/>
          <w:szCs w:val="20"/>
        </w:rPr>
      </w:pPr>
      <w:r w:rsidRPr="00DA7D34">
        <w:rPr>
          <w:rFonts w:ascii="Arial" w:hAnsi="Arial" w:cs="Arial"/>
          <w:sz w:val="20"/>
          <w:szCs w:val="20"/>
        </w:rPr>
        <w:lastRenderedPageBreak/>
        <w:t>b) Der Widerruf einer Schenkung gemäß § 530 BGB setzt objektiv eine Verfehlung des Beschenkten von gewisser Schwere voraus. Darüber hinaus muss die Verfehlung auch in subjektiver Hinsicht Ausdruck einer Gesinnung des Beschenkten sein, die in erheblichem Maße die Dankbarkeit vermissen lässt, die der Schenker erwarten kann.</w:t>
      </w:r>
    </w:p>
    <w:p w:rsidR="00EE2FF8" w:rsidRDefault="00DA7D34" w:rsidP="00DA7D34">
      <w:pPr>
        <w:jc w:val="both"/>
        <w:rPr>
          <w:rFonts w:ascii="Arial" w:hAnsi="Arial" w:cs="Arial"/>
          <w:sz w:val="20"/>
          <w:szCs w:val="20"/>
        </w:rPr>
      </w:pPr>
      <w:r w:rsidRPr="00DA7D34">
        <w:rPr>
          <w:rFonts w:ascii="Arial" w:hAnsi="Arial" w:cs="Arial"/>
          <w:sz w:val="20"/>
          <w:szCs w:val="20"/>
        </w:rPr>
        <w:t>c) Die Prüfung der subjektiven Seite setzt dabei in der Regel auch eine Auseinandersetzung mit den emotionalen Aspekten des dem Widerruf zugrunde liegenden Geschehens voraus. Hierfür kann auch von Bedeutung sein, ob der Beschenkte im Affekt gehandelt hat oder ob sich sein Verhalten als geplantes, wiederholt auftretendes, von einer grundlegenden Antipathie geprägtes Vorgehen darstellt.</w:t>
      </w:r>
    </w:p>
    <w:p w:rsidR="00DA7D34" w:rsidRPr="00DA7D34" w:rsidRDefault="00DA7D34" w:rsidP="00DA7D34">
      <w:pPr>
        <w:jc w:val="both"/>
        <w:rPr>
          <w:rFonts w:ascii="Arial" w:hAnsi="Arial" w:cs="Arial"/>
          <w:sz w:val="20"/>
          <w:szCs w:val="20"/>
        </w:rPr>
      </w:pPr>
    </w:p>
    <w:p w:rsidR="00DA7D34" w:rsidRDefault="00DA7D34" w:rsidP="00DA7D34">
      <w:pPr>
        <w:jc w:val="center"/>
        <w:rPr>
          <w:rFonts w:ascii="Arial" w:hAnsi="Arial" w:cs="Arial"/>
          <w:b/>
          <w:sz w:val="20"/>
          <w:szCs w:val="20"/>
        </w:rPr>
      </w:pPr>
      <w:r w:rsidRPr="00DA7D34">
        <w:rPr>
          <w:rFonts w:ascii="Arial" w:hAnsi="Arial" w:cs="Arial"/>
          <w:b/>
          <w:sz w:val="20"/>
          <w:szCs w:val="20"/>
        </w:rPr>
        <w:t>V.</w:t>
      </w:r>
    </w:p>
    <w:p w:rsidR="00EF6D35" w:rsidRPr="00EF6D35" w:rsidRDefault="00EF6D35" w:rsidP="00DA7D34">
      <w:pPr>
        <w:jc w:val="center"/>
        <w:rPr>
          <w:rFonts w:ascii="Arial" w:hAnsi="Arial" w:cs="Arial"/>
          <w:b/>
          <w:sz w:val="20"/>
          <w:szCs w:val="20"/>
        </w:rPr>
      </w:pPr>
      <w:r w:rsidRPr="00EF6D35">
        <w:rPr>
          <w:rFonts w:ascii="Arial" w:hAnsi="Arial" w:cs="Arial"/>
          <w:b/>
          <w:sz w:val="20"/>
        </w:rPr>
        <w:t>Gesellschafter-Geschäftsführer</w:t>
      </w:r>
      <w:r w:rsidRPr="00EF6D35">
        <w:rPr>
          <w:rFonts w:ascii="Arial" w:hAnsi="Arial" w:cs="Arial"/>
          <w:b/>
          <w:sz w:val="20"/>
        </w:rPr>
        <w:t xml:space="preserve"> einer GmbH als </w:t>
      </w:r>
      <w:r w:rsidRPr="00EF6D35">
        <w:rPr>
          <w:rFonts w:ascii="Arial" w:hAnsi="Arial" w:cs="Arial"/>
          <w:b/>
          <w:sz w:val="20"/>
        </w:rPr>
        <w:t>arbeitnehmerähnliche Person</w:t>
      </w:r>
      <w:r w:rsidRPr="00EF6D35">
        <w:rPr>
          <w:rFonts w:ascii="Arial" w:hAnsi="Arial" w:cs="Arial"/>
          <w:b/>
          <w:sz w:val="20"/>
        </w:rPr>
        <w:t>?</w:t>
      </w:r>
    </w:p>
    <w:p w:rsidR="00DA7D34" w:rsidRPr="00DA7D34" w:rsidRDefault="00DA7D34" w:rsidP="00DA7D34">
      <w:pPr>
        <w:jc w:val="center"/>
        <w:rPr>
          <w:rFonts w:ascii="Arial" w:hAnsi="Arial" w:cs="Arial"/>
          <w:bCs/>
          <w:sz w:val="20"/>
          <w:szCs w:val="20"/>
        </w:rPr>
      </w:pPr>
      <w:r w:rsidRPr="00DA7D34">
        <w:rPr>
          <w:rFonts w:ascii="Arial" w:hAnsi="Arial" w:cs="Arial"/>
          <w:bCs/>
          <w:sz w:val="20"/>
          <w:szCs w:val="20"/>
        </w:rPr>
        <w:t xml:space="preserve">Bundesgerichtshof, Urteil vom 1. Oktober 2019, Az. II ZR 386/17 </w:t>
      </w:r>
    </w:p>
    <w:p w:rsidR="00DA7D34" w:rsidRPr="00DA7D34" w:rsidRDefault="00DA7D34" w:rsidP="00DA7D34">
      <w:pPr>
        <w:jc w:val="center"/>
        <w:rPr>
          <w:rFonts w:ascii="Arial" w:hAnsi="Arial" w:cs="Arial"/>
          <w:sz w:val="20"/>
          <w:szCs w:val="20"/>
        </w:rPr>
      </w:pPr>
    </w:p>
    <w:p w:rsidR="001B21BD" w:rsidRPr="00DA7D34" w:rsidRDefault="001B21BD" w:rsidP="00DA7D34">
      <w:pPr>
        <w:rPr>
          <w:rFonts w:ascii="Arial" w:hAnsi="Arial" w:cs="Arial"/>
          <w:sz w:val="20"/>
        </w:rPr>
      </w:pPr>
    </w:p>
    <w:p w:rsidR="00DA7D34" w:rsidRPr="00DA7D34" w:rsidRDefault="00DA7D34" w:rsidP="00DA7D34">
      <w:pPr>
        <w:jc w:val="both"/>
        <w:rPr>
          <w:rFonts w:ascii="Arial" w:hAnsi="Arial" w:cs="Arial"/>
          <w:sz w:val="20"/>
        </w:rPr>
      </w:pPr>
      <w:r w:rsidRPr="00DA7D34">
        <w:rPr>
          <w:rFonts w:ascii="Arial" w:hAnsi="Arial" w:cs="Arial"/>
          <w:sz w:val="20"/>
        </w:rPr>
        <w:t>Ein Gesellschafter-Geschäftsführer einer Gesellschaft mit beschränkter Haftung, der mit einem oder mehreren anderen Gesellschafter-Geschäftsführern 50% der Geschäftsanteile hält und selbst nicht mit einem nur unbedeutenden Geschäftsanteil an der Gesellschaft beteiligt ist, ist keine arbeitnehmerähnliche Person im Sinne des §17 Abs.1 Satz2 BetrAVG</w:t>
      </w:r>
    </w:p>
    <w:p w:rsidR="00EB7202" w:rsidRPr="00DA7D34" w:rsidRDefault="00EB7202" w:rsidP="00DA7D34">
      <w:pPr>
        <w:rPr>
          <w:rFonts w:ascii="Arial" w:hAnsi="Arial" w:cs="Arial"/>
          <w:sz w:val="20"/>
        </w:rPr>
      </w:pPr>
    </w:p>
    <w:p w:rsidR="00EB7202" w:rsidRDefault="00DA7D34" w:rsidP="00DA7D34">
      <w:pPr>
        <w:jc w:val="center"/>
        <w:rPr>
          <w:rFonts w:ascii="Arial" w:hAnsi="Arial" w:cs="Arial"/>
          <w:b/>
          <w:sz w:val="18"/>
          <w:szCs w:val="21"/>
        </w:rPr>
      </w:pPr>
      <w:r w:rsidRPr="00DA7D34">
        <w:rPr>
          <w:rFonts w:ascii="Arial" w:hAnsi="Arial" w:cs="Arial"/>
          <w:b/>
          <w:sz w:val="18"/>
          <w:szCs w:val="21"/>
        </w:rPr>
        <w:t>VI.</w:t>
      </w:r>
    </w:p>
    <w:p w:rsidR="00DA7D34" w:rsidRPr="00DA7D34" w:rsidRDefault="00DA7D34" w:rsidP="00DA7D34">
      <w:pPr>
        <w:jc w:val="center"/>
        <w:rPr>
          <w:rFonts w:ascii="Arial" w:hAnsi="Arial" w:cs="Arial"/>
          <w:b/>
          <w:sz w:val="18"/>
          <w:szCs w:val="21"/>
        </w:rPr>
      </w:pPr>
      <w:r w:rsidRPr="00DA7D34">
        <w:rPr>
          <w:rFonts w:ascii="Arial" w:hAnsi="Arial" w:cs="Arial"/>
          <w:b/>
          <w:sz w:val="18"/>
          <w:szCs w:val="21"/>
        </w:rPr>
        <w:t>Elterngeld - Einkommensermittlung - Berücksichtigung von monatlich abgerechneten Umsatzbeteiligungen als laufenden Arbeitslohn - Erfassung als sonstige Bezüge in Lohn- und Gehaltsbescheinigungen - keine Bindungswirkung einer bestandskräftigen Lohnsteueranmeldung</w:t>
      </w:r>
    </w:p>
    <w:p w:rsidR="00DA7D34" w:rsidRPr="00DA7D34" w:rsidRDefault="00DA7D34" w:rsidP="00DA7D34">
      <w:pPr>
        <w:jc w:val="center"/>
        <w:rPr>
          <w:rFonts w:ascii="Arial" w:hAnsi="Arial" w:cs="Arial"/>
          <w:sz w:val="18"/>
          <w:szCs w:val="21"/>
        </w:rPr>
      </w:pPr>
      <w:r w:rsidRPr="00DA7D34">
        <w:rPr>
          <w:rFonts w:ascii="Arial" w:hAnsi="Arial" w:cs="Arial"/>
          <w:sz w:val="18"/>
          <w:szCs w:val="21"/>
        </w:rPr>
        <w:t>Landessozialgericht Niedersachsen-Breme</w:t>
      </w:r>
      <w:r>
        <w:rPr>
          <w:rFonts w:ascii="Arial" w:hAnsi="Arial" w:cs="Arial"/>
          <w:sz w:val="18"/>
          <w:szCs w:val="21"/>
        </w:rPr>
        <w:t>n, Urteil vom 06. November 2019, Az.</w:t>
      </w:r>
      <w:r w:rsidRPr="00DA7D34">
        <w:rPr>
          <w:rFonts w:ascii="Arial" w:hAnsi="Arial" w:cs="Arial"/>
          <w:sz w:val="18"/>
          <w:szCs w:val="21"/>
        </w:rPr>
        <w:t xml:space="preserve"> L 2 EG 7/19 </w:t>
      </w:r>
    </w:p>
    <w:p w:rsidR="0033290C" w:rsidRDefault="0033290C" w:rsidP="00DA7D34">
      <w:pPr>
        <w:rPr>
          <w:rFonts w:ascii="Arial" w:hAnsi="Arial" w:cs="Arial"/>
          <w:sz w:val="20"/>
        </w:rPr>
      </w:pPr>
    </w:p>
    <w:p w:rsidR="00DA7D34" w:rsidRPr="00DA7D34" w:rsidRDefault="00DA7D34" w:rsidP="00DA7D34">
      <w:pPr>
        <w:jc w:val="both"/>
        <w:rPr>
          <w:rFonts w:ascii="Arial" w:hAnsi="Arial" w:cs="Arial"/>
          <w:sz w:val="20"/>
        </w:rPr>
      </w:pPr>
      <w:r w:rsidRPr="00DA7D34">
        <w:rPr>
          <w:rFonts w:ascii="Arial" w:hAnsi="Arial" w:cs="Arial"/>
          <w:sz w:val="20"/>
        </w:rPr>
        <w:t xml:space="preserve">Umsatzbeteiligungen, die der Arbeitgeber im Bemessungszeitraum monatlich ermittelt und ausgezahlt hat, sind als Bestandteil der laufenden Bezüge bei der Berechnung von Elterngeldansprüchen der Arbeitnehmerin anspruchssteigernd zu berücksichtigen. </w:t>
      </w:r>
      <w:bookmarkStart w:id="2" w:name="_retrdlink_70"/>
      <w:r w:rsidRPr="00DA7D34">
        <w:rPr>
          <w:rFonts w:ascii="Arial" w:hAnsi="Arial" w:cs="Arial"/>
          <w:sz w:val="20"/>
        </w:rPr>
        <w:t>(Rn.70)</w:t>
      </w:r>
      <w:bookmarkEnd w:id="2"/>
    </w:p>
    <w:p w:rsidR="00DA7D34" w:rsidRPr="00DA7D34" w:rsidRDefault="00DA7D34" w:rsidP="00DA7D34">
      <w:pPr>
        <w:jc w:val="both"/>
        <w:rPr>
          <w:rFonts w:ascii="Arial" w:hAnsi="Arial" w:cs="Arial"/>
          <w:sz w:val="20"/>
        </w:rPr>
      </w:pPr>
      <w:r w:rsidRPr="00DA7D34">
        <w:rPr>
          <w:rFonts w:ascii="Arial" w:hAnsi="Arial" w:cs="Arial"/>
          <w:sz w:val="20"/>
        </w:rPr>
        <w:t>1. Im Anschluss</w:t>
      </w:r>
      <w:r w:rsidR="00EF6D35">
        <w:rPr>
          <w:rFonts w:ascii="Arial" w:hAnsi="Arial" w:cs="Arial"/>
          <w:sz w:val="20"/>
        </w:rPr>
        <w:t xml:space="preserve"> an die Rechtsprechung des BSG </w:t>
      </w:r>
      <w:r w:rsidRPr="00DA7D34">
        <w:rPr>
          <w:rFonts w:ascii="Arial" w:hAnsi="Arial" w:cs="Arial"/>
          <w:sz w:val="20"/>
        </w:rPr>
        <w:t>ist insoweit für die Berücksichtigung von variablen Entgeltbestandteilen beim Elterngeld nach §</w:t>
      </w:r>
      <w:r>
        <w:rPr>
          <w:rFonts w:ascii="Arial" w:hAnsi="Arial" w:cs="Arial"/>
          <w:sz w:val="20"/>
        </w:rPr>
        <w:t xml:space="preserve"> </w:t>
      </w:r>
      <w:r w:rsidRPr="00DA7D34">
        <w:rPr>
          <w:rFonts w:ascii="Arial" w:hAnsi="Arial" w:cs="Arial"/>
          <w:sz w:val="20"/>
        </w:rPr>
        <w:t>2c Abs</w:t>
      </w:r>
      <w:r>
        <w:rPr>
          <w:rFonts w:ascii="Arial" w:hAnsi="Arial" w:cs="Arial"/>
          <w:sz w:val="20"/>
        </w:rPr>
        <w:t>.</w:t>
      </w:r>
      <w:r w:rsidRPr="00DA7D34">
        <w:rPr>
          <w:rFonts w:ascii="Arial" w:hAnsi="Arial" w:cs="Arial"/>
          <w:sz w:val="20"/>
        </w:rPr>
        <w:t xml:space="preserve"> 1 S 2 BEEG vorauszusetzen, dass die erforderliche Konkordanz zwischen Lohnzahlungszeitraum und dem für den jeweiligen Lohnbestandteil maßgeblichen Bem</w:t>
      </w:r>
      <w:r w:rsidR="00EF6D35">
        <w:rPr>
          <w:rFonts w:ascii="Arial" w:hAnsi="Arial" w:cs="Arial"/>
          <w:sz w:val="20"/>
        </w:rPr>
        <w:t>essungszeitraum gewahrt bleibt.</w:t>
      </w:r>
    </w:p>
    <w:p w:rsidR="00DA7D34" w:rsidRPr="00DA7D34" w:rsidRDefault="00DA7D34" w:rsidP="00DA7D34">
      <w:pPr>
        <w:jc w:val="both"/>
        <w:rPr>
          <w:rFonts w:ascii="Arial" w:hAnsi="Arial" w:cs="Arial"/>
          <w:sz w:val="20"/>
        </w:rPr>
      </w:pPr>
      <w:r w:rsidRPr="00DA7D34">
        <w:rPr>
          <w:rFonts w:ascii="Arial" w:hAnsi="Arial" w:cs="Arial"/>
          <w:sz w:val="20"/>
        </w:rPr>
        <w:t>2. Soweit das BSG die Ausweisung von Teilen der Entgeltzahlungen als "sonstige Bezüge" in den von Seiten des Arbeitgebers abzugebenden Lohnsteueranmeldungen einer gerichtlichen Überprüfung in Elterngeldrechtstreitigkeiten entzieht  ist dies mit der Rechtsschutzgarantie des Art 19 Abs</w:t>
      </w:r>
      <w:r>
        <w:rPr>
          <w:rFonts w:ascii="Arial" w:hAnsi="Arial" w:cs="Arial"/>
          <w:sz w:val="20"/>
        </w:rPr>
        <w:t>.</w:t>
      </w:r>
      <w:r w:rsidRPr="00DA7D34">
        <w:rPr>
          <w:rFonts w:ascii="Arial" w:hAnsi="Arial" w:cs="Arial"/>
          <w:sz w:val="20"/>
        </w:rPr>
        <w:t xml:space="preserve"> 4 GG nicht in Einklang zu bringen. Diese fordert, dass der Richter - bezogen auf das als verletzt behauptete Recht - eine hinreichende Prüfungsbefugnis über die tatsächliche und rechtliche Seite des Rechtsschutzbegehrens hat sowie über eine zureichende Entscheidungsmacht verfügt, um einer erfolgten oder drohenden Rechtsverletzung wirksam abzuhelfen. </w:t>
      </w:r>
      <w:bookmarkStart w:id="3" w:name="_retrdlink_86"/>
      <w:r w:rsidRPr="00DA7D34">
        <w:rPr>
          <w:rFonts w:ascii="Arial" w:hAnsi="Arial" w:cs="Arial"/>
          <w:sz w:val="20"/>
        </w:rPr>
        <w:t>(Rn.86)</w:t>
      </w:r>
      <w:bookmarkEnd w:id="3"/>
    </w:p>
    <w:p w:rsidR="00DA7D34" w:rsidRDefault="00DA7D34" w:rsidP="00DA7D34">
      <w:pPr>
        <w:jc w:val="both"/>
        <w:rPr>
          <w:rFonts w:ascii="Arial" w:hAnsi="Arial" w:cs="Arial"/>
          <w:sz w:val="20"/>
        </w:rPr>
      </w:pPr>
    </w:p>
    <w:p w:rsidR="00867E1D" w:rsidRDefault="00867E1D" w:rsidP="00867E1D">
      <w:pPr>
        <w:jc w:val="center"/>
        <w:rPr>
          <w:rFonts w:ascii="Arial" w:hAnsi="Arial" w:cs="Arial"/>
          <w:b/>
          <w:sz w:val="20"/>
        </w:rPr>
      </w:pPr>
      <w:r w:rsidRPr="00867E1D">
        <w:rPr>
          <w:rFonts w:ascii="Arial" w:hAnsi="Arial" w:cs="Arial"/>
          <w:b/>
          <w:sz w:val="20"/>
        </w:rPr>
        <w:t>VII.</w:t>
      </w:r>
    </w:p>
    <w:p w:rsidR="00867E1D" w:rsidRPr="00867E1D" w:rsidRDefault="00867E1D" w:rsidP="00867E1D">
      <w:pPr>
        <w:jc w:val="center"/>
        <w:rPr>
          <w:rFonts w:ascii="Arial" w:hAnsi="Arial" w:cs="Arial"/>
          <w:b/>
          <w:sz w:val="20"/>
        </w:rPr>
      </w:pPr>
      <w:r w:rsidRPr="00867E1D">
        <w:rPr>
          <w:rFonts w:ascii="Arial" w:hAnsi="Arial" w:cs="Arial"/>
          <w:b/>
          <w:sz w:val="20"/>
        </w:rPr>
        <w:t>Teilkündigung zur Lohnreduzierung</w:t>
      </w:r>
    </w:p>
    <w:p w:rsidR="00867E1D" w:rsidRPr="00867E1D" w:rsidRDefault="00867E1D" w:rsidP="00867E1D">
      <w:pPr>
        <w:jc w:val="center"/>
        <w:rPr>
          <w:rFonts w:ascii="Arial" w:hAnsi="Arial" w:cs="Arial"/>
          <w:sz w:val="20"/>
        </w:rPr>
      </w:pPr>
      <w:r w:rsidRPr="00867E1D">
        <w:rPr>
          <w:rFonts w:ascii="Arial" w:hAnsi="Arial" w:cs="Arial"/>
          <w:sz w:val="20"/>
        </w:rPr>
        <w:t>Landesarbeitsgericht Mecklenburg-Vorpommern, Urteil vom 29. Oktober 2019</w:t>
      </w:r>
      <w:r>
        <w:rPr>
          <w:rFonts w:ascii="Arial" w:hAnsi="Arial" w:cs="Arial"/>
          <w:sz w:val="20"/>
        </w:rPr>
        <w:t>, Az. 5 Sa 72/19</w:t>
      </w:r>
    </w:p>
    <w:p w:rsidR="0033290C" w:rsidRDefault="0033290C" w:rsidP="00DA7D34">
      <w:pPr>
        <w:rPr>
          <w:rFonts w:ascii="Arial" w:hAnsi="Arial" w:cs="Arial"/>
          <w:sz w:val="20"/>
        </w:rPr>
      </w:pPr>
    </w:p>
    <w:p w:rsidR="00867E1D" w:rsidRPr="00867E1D" w:rsidRDefault="00867E1D" w:rsidP="00867E1D">
      <w:pPr>
        <w:jc w:val="both"/>
        <w:rPr>
          <w:rFonts w:ascii="Arial" w:hAnsi="Arial" w:cs="Arial"/>
          <w:sz w:val="20"/>
        </w:rPr>
      </w:pPr>
      <w:r w:rsidRPr="00867E1D">
        <w:rPr>
          <w:rFonts w:ascii="Arial" w:hAnsi="Arial" w:cs="Arial"/>
          <w:sz w:val="20"/>
        </w:rPr>
        <w:t>1. Zur Auslegung eines als "Änderungskündigung Lohn zum 01.09.2018" bezeichneten Schreibens der Arbeitgeberin.</w:t>
      </w:r>
    </w:p>
    <w:p w:rsidR="00867E1D" w:rsidRPr="00867E1D" w:rsidRDefault="00867E1D" w:rsidP="00867E1D">
      <w:pPr>
        <w:jc w:val="both"/>
        <w:rPr>
          <w:rFonts w:ascii="Arial" w:hAnsi="Arial" w:cs="Arial"/>
          <w:sz w:val="20"/>
        </w:rPr>
      </w:pPr>
      <w:r w:rsidRPr="00867E1D">
        <w:rPr>
          <w:rFonts w:ascii="Arial" w:hAnsi="Arial" w:cs="Arial"/>
          <w:sz w:val="20"/>
        </w:rPr>
        <w:t>2. Eine Änderungskündigung im Sinne des § 2 Satz 1 KSchG setzt voraus, dass der Arbeitgeber den Willen zu erkennen gibt, sich von dem Arbeitnehmer endgültig zu trennen, sollte dieser den vorgeschlagenen Vertragsänderungen nicht zustimmen.</w:t>
      </w:r>
    </w:p>
    <w:p w:rsidR="00867E1D" w:rsidRPr="00867E1D" w:rsidRDefault="00867E1D" w:rsidP="00867E1D">
      <w:pPr>
        <w:jc w:val="both"/>
        <w:rPr>
          <w:rFonts w:ascii="Arial" w:hAnsi="Arial" w:cs="Arial"/>
          <w:sz w:val="20"/>
        </w:rPr>
      </w:pPr>
      <w:r w:rsidRPr="00867E1D">
        <w:rPr>
          <w:rFonts w:ascii="Arial" w:hAnsi="Arial" w:cs="Arial"/>
          <w:sz w:val="20"/>
        </w:rPr>
        <w:t>3. Teilkündigungen, mit denen der Kündigende einzelne Vertragsbedingungen gegen den Willen der anderen Vertragspartei einseitig ändern will, sind grundsätzlich unzulässig. Sie stellen einen unzulässigen Eingriff in das ausgehandelte Äquivalenz- und Ordnungsgefüge des Vertrags dar.</w:t>
      </w:r>
    </w:p>
    <w:p w:rsidR="00867E1D" w:rsidRDefault="00867E1D" w:rsidP="00DA7D34">
      <w:pPr>
        <w:rPr>
          <w:rFonts w:ascii="Arial" w:hAnsi="Arial" w:cs="Arial"/>
          <w:sz w:val="20"/>
        </w:rPr>
      </w:pPr>
    </w:p>
    <w:p w:rsidR="00867E1D" w:rsidRDefault="00867E1D" w:rsidP="00867E1D">
      <w:pPr>
        <w:jc w:val="center"/>
        <w:rPr>
          <w:rFonts w:ascii="Arial" w:hAnsi="Arial" w:cs="Arial"/>
          <w:b/>
          <w:sz w:val="20"/>
        </w:rPr>
      </w:pPr>
      <w:r w:rsidRPr="00867E1D">
        <w:rPr>
          <w:rFonts w:ascii="Arial" w:hAnsi="Arial" w:cs="Arial"/>
          <w:b/>
          <w:sz w:val="20"/>
        </w:rPr>
        <w:t>VIII.</w:t>
      </w:r>
    </w:p>
    <w:p w:rsidR="00867E1D" w:rsidRPr="00867E1D" w:rsidRDefault="00867E1D" w:rsidP="00867E1D">
      <w:pPr>
        <w:jc w:val="center"/>
        <w:rPr>
          <w:rFonts w:ascii="Arial" w:hAnsi="Arial" w:cs="Arial"/>
          <w:b/>
          <w:sz w:val="20"/>
        </w:rPr>
      </w:pPr>
      <w:r w:rsidRPr="00867E1D">
        <w:rPr>
          <w:rFonts w:ascii="Arial" w:hAnsi="Arial" w:cs="Arial"/>
          <w:b/>
          <w:sz w:val="20"/>
        </w:rPr>
        <w:t>Überstundenprozess - Darlegungs- und Beweislast</w:t>
      </w:r>
    </w:p>
    <w:p w:rsidR="00867E1D" w:rsidRPr="00867E1D" w:rsidRDefault="00867E1D" w:rsidP="00867E1D">
      <w:pPr>
        <w:jc w:val="center"/>
        <w:rPr>
          <w:rFonts w:ascii="Arial" w:hAnsi="Arial" w:cs="Arial"/>
          <w:sz w:val="20"/>
        </w:rPr>
      </w:pPr>
      <w:r w:rsidRPr="00867E1D">
        <w:rPr>
          <w:rFonts w:ascii="Arial" w:hAnsi="Arial" w:cs="Arial"/>
          <w:sz w:val="20"/>
        </w:rPr>
        <w:t xml:space="preserve">Landesarbeitsgericht Mecklenburg-Vorpommern 5. Kammer, Urteil vom 05.11.2019, </w:t>
      </w:r>
      <w:r>
        <w:rPr>
          <w:rFonts w:ascii="Arial" w:hAnsi="Arial" w:cs="Arial"/>
          <w:sz w:val="20"/>
        </w:rPr>
        <w:t xml:space="preserve">Az. </w:t>
      </w:r>
      <w:r w:rsidRPr="00867E1D">
        <w:rPr>
          <w:rFonts w:ascii="Arial" w:hAnsi="Arial" w:cs="Arial"/>
          <w:sz w:val="20"/>
        </w:rPr>
        <w:t>5 Sa 73/19</w:t>
      </w:r>
    </w:p>
    <w:p w:rsidR="00867E1D" w:rsidRDefault="00867E1D" w:rsidP="00867E1D">
      <w:pPr>
        <w:jc w:val="both"/>
        <w:rPr>
          <w:rFonts w:ascii="Arial" w:hAnsi="Arial" w:cs="Arial"/>
          <w:sz w:val="20"/>
        </w:rPr>
      </w:pPr>
    </w:p>
    <w:p w:rsidR="00867E1D" w:rsidRDefault="00867E1D" w:rsidP="00867E1D">
      <w:pPr>
        <w:jc w:val="both"/>
        <w:rPr>
          <w:rFonts w:ascii="Arial" w:hAnsi="Arial" w:cs="Arial"/>
          <w:sz w:val="20"/>
        </w:rPr>
      </w:pPr>
      <w:r w:rsidRPr="00867E1D">
        <w:rPr>
          <w:rFonts w:ascii="Arial" w:hAnsi="Arial" w:cs="Arial"/>
          <w:sz w:val="20"/>
        </w:rPr>
        <w:t>1. Führt der Arbeitgeber für den einzelnen Arbeitnehmer ein Arbeitszeitkonto und weist er vorbehaltlos eine bestimmte Anzahl von Guthabenstunden aus, stellt er damit den Saldo des Kontos streitlos. Will der Arbeitgeber im Nachhinein den sich aus dem Arbeitszeitkonto zugunsten des Arbeitnehmers ergebenden Saldo erheblich bestreiten, obliegt es ihm ausgehend von einer gestuften Darlegungslast, im Einzelnen darzulegen, aufgrund welcher Umstände der ausgewiesene Saldo unzutreffend sei oder sich bis zur vereinbarten Schließung des Arbeitszeitkontos reduziert habe.</w:t>
      </w:r>
    </w:p>
    <w:p w:rsidR="00867E1D" w:rsidRPr="00867E1D" w:rsidRDefault="00867E1D" w:rsidP="00867E1D">
      <w:pPr>
        <w:jc w:val="both"/>
        <w:rPr>
          <w:rFonts w:ascii="Arial" w:hAnsi="Arial" w:cs="Arial"/>
          <w:sz w:val="20"/>
        </w:rPr>
      </w:pPr>
      <w:r w:rsidRPr="00867E1D">
        <w:rPr>
          <w:rFonts w:ascii="Arial" w:hAnsi="Arial" w:cs="Arial"/>
          <w:sz w:val="20"/>
        </w:rPr>
        <w:t>2. Diese Grundsätze gelten nicht, wenn sich der Arbeitnehmer zur Begründung seines Anspruchs auf selbst gefertigte Arbeitszeitaufstellungen beruft, die sich der Arbeitgeber nicht zu eigen gemacht hat. In diesem Fall sind zunächst vom Arbeitnehmer die den behaupteten Saldo begründenden Tatsachen im Einzelnen darzulegen. Die Darlegungslast richtet sich nach den für einen Überstundenprozess geltenden Maßstäben.</w:t>
      </w:r>
    </w:p>
    <w:p w:rsidR="00867E1D" w:rsidRDefault="00867E1D" w:rsidP="00867E1D">
      <w:pPr>
        <w:jc w:val="both"/>
        <w:rPr>
          <w:rFonts w:ascii="Arial" w:hAnsi="Arial" w:cs="Arial"/>
          <w:sz w:val="20"/>
        </w:rPr>
      </w:pPr>
    </w:p>
    <w:p w:rsidR="00867E1D" w:rsidRDefault="00867E1D" w:rsidP="00867E1D">
      <w:pPr>
        <w:jc w:val="center"/>
        <w:rPr>
          <w:rFonts w:ascii="Arial" w:hAnsi="Arial" w:cs="Arial"/>
          <w:b/>
          <w:sz w:val="20"/>
        </w:rPr>
      </w:pPr>
      <w:r w:rsidRPr="00867E1D">
        <w:rPr>
          <w:rFonts w:ascii="Arial" w:hAnsi="Arial" w:cs="Arial"/>
          <w:b/>
          <w:sz w:val="20"/>
        </w:rPr>
        <w:t>IX.</w:t>
      </w:r>
    </w:p>
    <w:p w:rsidR="00EF6D35" w:rsidRPr="00EF6D35" w:rsidRDefault="00EF6D35" w:rsidP="00867E1D">
      <w:pPr>
        <w:jc w:val="center"/>
        <w:rPr>
          <w:rFonts w:ascii="Arial" w:hAnsi="Arial" w:cs="Arial"/>
          <w:b/>
          <w:sz w:val="20"/>
        </w:rPr>
      </w:pPr>
      <w:r w:rsidRPr="00EF6D35">
        <w:rPr>
          <w:rFonts w:ascii="Arial" w:hAnsi="Arial" w:cs="Arial"/>
          <w:b/>
          <w:sz w:val="20"/>
        </w:rPr>
        <w:t>Bestellung Nießbrauch an</w:t>
      </w:r>
      <w:r w:rsidRPr="00EF6D35">
        <w:rPr>
          <w:rFonts w:ascii="Arial" w:hAnsi="Arial" w:cs="Arial"/>
          <w:b/>
          <w:sz w:val="20"/>
        </w:rPr>
        <w:t xml:space="preserve"> </w:t>
      </w:r>
      <w:r w:rsidRPr="00EF6D35">
        <w:rPr>
          <w:rFonts w:ascii="Arial" w:hAnsi="Arial" w:cs="Arial"/>
          <w:b/>
          <w:sz w:val="20"/>
        </w:rPr>
        <w:t>Kommanditanteil</w:t>
      </w:r>
      <w:r w:rsidRPr="00EF6D35">
        <w:rPr>
          <w:rFonts w:ascii="Arial" w:hAnsi="Arial" w:cs="Arial"/>
          <w:b/>
          <w:sz w:val="20"/>
        </w:rPr>
        <w:t xml:space="preserve"> nicht eintragungsfähig</w:t>
      </w:r>
    </w:p>
    <w:p w:rsidR="00867E1D" w:rsidRDefault="00867E1D" w:rsidP="00867E1D">
      <w:pPr>
        <w:jc w:val="center"/>
        <w:rPr>
          <w:rFonts w:ascii="Arial" w:hAnsi="Arial" w:cs="Arial"/>
          <w:sz w:val="20"/>
        </w:rPr>
      </w:pPr>
      <w:r w:rsidRPr="00867E1D">
        <w:rPr>
          <w:rFonts w:ascii="Arial" w:hAnsi="Arial" w:cs="Arial"/>
          <w:sz w:val="20"/>
        </w:rPr>
        <w:t>OLG Köln, Beschluss vom 07. Oktober 2019</w:t>
      </w:r>
      <w:r>
        <w:rPr>
          <w:rFonts w:ascii="Arial" w:hAnsi="Arial" w:cs="Arial"/>
          <w:sz w:val="20"/>
        </w:rPr>
        <w:t xml:space="preserve">, Az. 18 </w:t>
      </w:r>
      <w:proofErr w:type="spellStart"/>
      <w:r>
        <w:rPr>
          <w:rFonts w:ascii="Arial" w:hAnsi="Arial" w:cs="Arial"/>
          <w:sz w:val="20"/>
        </w:rPr>
        <w:t>Wx</w:t>
      </w:r>
      <w:proofErr w:type="spellEnd"/>
      <w:r>
        <w:rPr>
          <w:rFonts w:ascii="Arial" w:hAnsi="Arial" w:cs="Arial"/>
          <w:sz w:val="20"/>
        </w:rPr>
        <w:t xml:space="preserve"> 18/19</w:t>
      </w:r>
    </w:p>
    <w:p w:rsidR="00867E1D" w:rsidRDefault="00867E1D" w:rsidP="00867E1D">
      <w:pPr>
        <w:jc w:val="both"/>
        <w:rPr>
          <w:rFonts w:ascii="Arial" w:hAnsi="Arial" w:cs="Arial"/>
          <w:sz w:val="20"/>
        </w:rPr>
      </w:pPr>
      <w:bookmarkStart w:id="4" w:name="_GoBack"/>
      <w:bookmarkEnd w:id="4"/>
    </w:p>
    <w:p w:rsidR="00867E1D" w:rsidRPr="00867E1D" w:rsidRDefault="00867E1D" w:rsidP="00867E1D">
      <w:pPr>
        <w:jc w:val="both"/>
        <w:rPr>
          <w:rFonts w:ascii="Arial" w:hAnsi="Arial" w:cs="Arial"/>
          <w:sz w:val="20"/>
        </w:rPr>
      </w:pPr>
      <w:r w:rsidRPr="00867E1D">
        <w:rPr>
          <w:rFonts w:ascii="Arial" w:hAnsi="Arial" w:cs="Arial"/>
          <w:sz w:val="20"/>
        </w:rPr>
        <w:t xml:space="preserve">Die Bestellung eines Nießbrauchs an einem Kommanditanteil kann nicht in das Handelsregister eingetragen werden (Anschluss an OLG München, Beschluss vom 8. August 2016 - 31 </w:t>
      </w:r>
      <w:proofErr w:type="spellStart"/>
      <w:r w:rsidRPr="00867E1D">
        <w:rPr>
          <w:rFonts w:ascii="Arial" w:hAnsi="Arial" w:cs="Arial"/>
          <w:sz w:val="20"/>
        </w:rPr>
        <w:t>Wx</w:t>
      </w:r>
      <w:proofErr w:type="spellEnd"/>
      <w:r w:rsidRPr="00867E1D">
        <w:rPr>
          <w:rFonts w:ascii="Arial" w:hAnsi="Arial" w:cs="Arial"/>
          <w:sz w:val="20"/>
        </w:rPr>
        <w:t xml:space="preserve"> 204/16, NZG</w:t>
      </w:r>
      <w:r w:rsidRPr="00867E1D">
        <w:rPr>
          <w:rFonts w:ascii="Arial" w:hAnsi="Arial" w:cs="Arial"/>
          <w:sz w:val="20"/>
          <w:u w:val="single"/>
        </w:rPr>
        <w:t xml:space="preserve"> </w:t>
      </w:r>
      <w:r w:rsidRPr="00867E1D">
        <w:rPr>
          <w:rFonts w:ascii="Arial" w:hAnsi="Arial" w:cs="Arial"/>
          <w:sz w:val="20"/>
        </w:rPr>
        <w:t>2016, 1064).</w:t>
      </w:r>
    </w:p>
    <w:p w:rsidR="00867E1D" w:rsidRDefault="00867E1D" w:rsidP="00867E1D">
      <w:pPr>
        <w:jc w:val="both"/>
        <w:rPr>
          <w:rFonts w:ascii="Arial" w:hAnsi="Arial" w:cs="Arial"/>
          <w:sz w:val="20"/>
        </w:rPr>
      </w:pPr>
    </w:p>
    <w:p w:rsidR="00867E1D" w:rsidRDefault="00867E1D" w:rsidP="00867E1D">
      <w:pPr>
        <w:jc w:val="center"/>
        <w:rPr>
          <w:rFonts w:ascii="Arial" w:hAnsi="Arial" w:cs="Arial"/>
          <w:b/>
          <w:sz w:val="20"/>
        </w:rPr>
      </w:pPr>
      <w:r w:rsidRPr="00867E1D">
        <w:rPr>
          <w:rFonts w:ascii="Arial" w:hAnsi="Arial" w:cs="Arial"/>
          <w:b/>
          <w:sz w:val="20"/>
        </w:rPr>
        <w:t>X.</w:t>
      </w:r>
    </w:p>
    <w:p w:rsidR="00867E1D" w:rsidRPr="00867E1D" w:rsidRDefault="00867E1D" w:rsidP="00867E1D">
      <w:pPr>
        <w:jc w:val="center"/>
        <w:rPr>
          <w:rFonts w:ascii="Arial" w:hAnsi="Arial" w:cs="Arial"/>
          <w:b/>
          <w:sz w:val="20"/>
        </w:rPr>
      </w:pPr>
      <w:r w:rsidRPr="00867E1D">
        <w:rPr>
          <w:rFonts w:ascii="Arial" w:hAnsi="Arial" w:cs="Arial"/>
          <w:b/>
          <w:sz w:val="20"/>
        </w:rPr>
        <w:t>Bankenhaftung: Schadensersatzanspruch eines Bevollmächtigten gegen die kontoführende Bank des Erblassers bei verspäteter Befolgung einer Zahlungsanweisung</w:t>
      </w:r>
    </w:p>
    <w:p w:rsidR="00867E1D" w:rsidRDefault="00867E1D" w:rsidP="00867E1D">
      <w:pPr>
        <w:jc w:val="center"/>
        <w:rPr>
          <w:rFonts w:ascii="Arial" w:hAnsi="Arial" w:cs="Arial"/>
          <w:sz w:val="20"/>
        </w:rPr>
      </w:pPr>
      <w:r w:rsidRPr="00867E1D">
        <w:rPr>
          <w:rFonts w:ascii="Arial" w:hAnsi="Arial" w:cs="Arial"/>
          <w:sz w:val="20"/>
        </w:rPr>
        <w:t>LG Memmingen, Urteil vom 28. Oktober 2019</w:t>
      </w:r>
      <w:r>
        <w:rPr>
          <w:rFonts w:ascii="Arial" w:hAnsi="Arial" w:cs="Arial"/>
          <w:sz w:val="20"/>
        </w:rPr>
        <w:t>, Az. 22 O 257/19</w:t>
      </w:r>
    </w:p>
    <w:p w:rsidR="00867E1D" w:rsidRDefault="00867E1D" w:rsidP="00867E1D">
      <w:pPr>
        <w:jc w:val="both"/>
        <w:rPr>
          <w:rFonts w:ascii="Arial" w:hAnsi="Arial" w:cs="Arial"/>
          <w:sz w:val="20"/>
        </w:rPr>
      </w:pPr>
    </w:p>
    <w:p w:rsidR="00867E1D" w:rsidRPr="00867E1D" w:rsidRDefault="00867E1D" w:rsidP="00867E1D">
      <w:pPr>
        <w:jc w:val="both"/>
        <w:rPr>
          <w:rFonts w:ascii="Arial" w:hAnsi="Arial" w:cs="Arial"/>
          <w:sz w:val="20"/>
        </w:rPr>
      </w:pPr>
      <w:r w:rsidRPr="00867E1D">
        <w:rPr>
          <w:rFonts w:ascii="Arial" w:hAnsi="Arial" w:cs="Arial"/>
          <w:sz w:val="20"/>
        </w:rPr>
        <w:t>Ist die kontoführende Bank des Erblassers ohne Nachweis der Erbenstellung bereits aufgrund einer bestehenden Kontovollmacht und einer Vorsorgevollmacht verpflichtet, einer Zahlungsanweisung des Bevollmächtigten Folge zu leisten, so hat sie den ihm als Alleinerben infolge einer verspäteten Auszahlung entstandenen Verzugsschaden zu ersetzen</w:t>
      </w:r>
      <w:bookmarkStart w:id="5" w:name="_retrdlink_15"/>
      <w:r>
        <w:rPr>
          <w:rFonts w:ascii="Arial" w:hAnsi="Arial" w:cs="Arial"/>
          <w:sz w:val="20"/>
        </w:rPr>
        <w:t xml:space="preserve"> </w:t>
      </w:r>
      <w:r w:rsidRPr="00867E1D">
        <w:rPr>
          <w:rFonts w:ascii="Arial" w:hAnsi="Arial" w:cs="Arial"/>
          <w:sz w:val="20"/>
        </w:rPr>
        <w:t>(Rn.15)</w:t>
      </w:r>
      <w:bookmarkStart w:id="6" w:name="_retrdlink_16"/>
      <w:bookmarkEnd w:id="5"/>
      <w:r w:rsidRPr="00867E1D">
        <w:rPr>
          <w:rFonts w:ascii="Arial" w:hAnsi="Arial" w:cs="Arial"/>
          <w:sz w:val="20"/>
        </w:rPr>
        <w:t>(Rn.16)</w:t>
      </w:r>
      <w:bookmarkEnd w:id="6"/>
      <w:r>
        <w:rPr>
          <w:rFonts w:ascii="Arial" w:hAnsi="Arial" w:cs="Arial"/>
          <w:sz w:val="20"/>
        </w:rPr>
        <w:t>.</w:t>
      </w:r>
    </w:p>
    <w:p w:rsidR="00867E1D" w:rsidRPr="00867E1D" w:rsidRDefault="00867E1D" w:rsidP="00867E1D">
      <w:pPr>
        <w:jc w:val="both"/>
        <w:rPr>
          <w:rFonts w:ascii="Arial" w:hAnsi="Arial" w:cs="Arial"/>
          <w:sz w:val="20"/>
        </w:rPr>
      </w:pPr>
    </w:p>
    <w:p w:rsidR="00867E1D" w:rsidRDefault="00867E1D" w:rsidP="00867E1D">
      <w:pPr>
        <w:jc w:val="both"/>
        <w:rPr>
          <w:rFonts w:ascii="Arial" w:hAnsi="Arial" w:cs="Arial"/>
          <w:sz w:val="20"/>
        </w:rPr>
      </w:pPr>
    </w:p>
    <w:p w:rsidR="00867E1D" w:rsidRDefault="00867E1D" w:rsidP="00867E1D">
      <w:pPr>
        <w:jc w:val="both"/>
        <w:rPr>
          <w:rFonts w:ascii="Arial" w:hAnsi="Arial" w:cs="Arial"/>
          <w:sz w:val="20"/>
        </w:rPr>
      </w:pPr>
    </w:p>
    <w:p w:rsidR="00867E1D" w:rsidRPr="00867E1D" w:rsidRDefault="00867E1D" w:rsidP="00867E1D">
      <w:pPr>
        <w:jc w:val="both"/>
        <w:rPr>
          <w:rFonts w:ascii="Arial" w:hAnsi="Arial" w:cs="Arial"/>
          <w:sz w:val="20"/>
        </w:rPr>
      </w:pPr>
      <w:r w:rsidRPr="00867E1D">
        <w:rPr>
          <w:rFonts w:ascii="Arial" w:hAnsi="Arial" w:cs="Arial"/>
          <w:sz w:val="20"/>
        </w:rPr>
        <w:t>Für Rückfragen stehe ich Ihnen gerne zur Verfügung.</w:t>
      </w:r>
    </w:p>
    <w:p w:rsidR="00867E1D" w:rsidRPr="00867E1D" w:rsidRDefault="00867E1D" w:rsidP="00867E1D">
      <w:pPr>
        <w:jc w:val="both"/>
        <w:rPr>
          <w:rFonts w:ascii="Arial" w:hAnsi="Arial" w:cs="Arial"/>
          <w:sz w:val="20"/>
        </w:rPr>
      </w:pPr>
    </w:p>
    <w:p w:rsidR="00867E1D" w:rsidRPr="00867E1D" w:rsidRDefault="00867E1D" w:rsidP="00867E1D">
      <w:pPr>
        <w:jc w:val="both"/>
        <w:rPr>
          <w:rFonts w:ascii="Arial" w:hAnsi="Arial" w:cs="Arial"/>
          <w:sz w:val="20"/>
        </w:rPr>
      </w:pPr>
    </w:p>
    <w:p w:rsidR="00867E1D" w:rsidRPr="00867E1D" w:rsidRDefault="00867E1D" w:rsidP="00867E1D">
      <w:pPr>
        <w:jc w:val="both"/>
        <w:rPr>
          <w:rFonts w:ascii="Arial" w:hAnsi="Arial" w:cs="Arial"/>
          <w:sz w:val="20"/>
        </w:rPr>
      </w:pPr>
      <w:r w:rsidRPr="00867E1D">
        <w:rPr>
          <w:rFonts w:ascii="Arial" w:hAnsi="Arial" w:cs="Arial"/>
          <w:sz w:val="20"/>
        </w:rPr>
        <w:t>Michael Henn</w:t>
      </w:r>
    </w:p>
    <w:p w:rsidR="00867E1D" w:rsidRPr="00867E1D" w:rsidRDefault="00867E1D" w:rsidP="00867E1D">
      <w:pPr>
        <w:jc w:val="both"/>
        <w:rPr>
          <w:rFonts w:ascii="Arial" w:hAnsi="Arial" w:cs="Arial"/>
          <w:sz w:val="20"/>
        </w:rPr>
      </w:pPr>
      <w:r w:rsidRPr="00867E1D">
        <w:rPr>
          <w:rFonts w:ascii="Arial" w:hAnsi="Arial" w:cs="Arial"/>
          <w:sz w:val="20"/>
        </w:rPr>
        <w:t>Rechtsanwalt</w:t>
      </w:r>
    </w:p>
    <w:p w:rsidR="00867E1D" w:rsidRPr="00867E1D" w:rsidRDefault="00867E1D" w:rsidP="00867E1D">
      <w:pPr>
        <w:jc w:val="both"/>
        <w:rPr>
          <w:rFonts w:ascii="Arial" w:hAnsi="Arial" w:cs="Arial"/>
          <w:sz w:val="20"/>
        </w:rPr>
      </w:pPr>
      <w:r w:rsidRPr="00867E1D">
        <w:rPr>
          <w:rFonts w:ascii="Arial" w:hAnsi="Arial" w:cs="Arial"/>
          <w:sz w:val="20"/>
        </w:rPr>
        <w:t>Fachanwalt für Erbrecht</w:t>
      </w:r>
    </w:p>
    <w:p w:rsidR="00867E1D" w:rsidRPr="00867E1D" w:rsidRDefault="00867E1D" w:rsidP="00867E1D">
      <w:pPr>
        <w:jc w:val="both"/>
        <w:rPr>
          <w:rFonts w:ascii="Arial" w:hAnsi="Arial" w:cs="Arial"/>
          <w:sz w:val="20"/>
        </w:rPr>
      </w:pPr>
      <w:r w:rsidRPr="00867E1D">
        <w:rPr>
          <w:rFonts w:ascii="Arial" w:hAnsi="Arial" w:cs="Arial"/>
          <w:sz w:val="20"/>
        </w:rPr>
        <w:t xml:space="preserve">Fachanwalt für Arbeitsrecht </w:t>
      </w:r>
    </w:p>
    <w:p w:rsidR="00867E1D" w:rsidRPr="00867E1D" w:rsidRDefault="00867E1D" w:rsidP="00867E1D">
      <w:pPr>
        <w:jc w:val="both"/>
        <w:rPr>
          <w:rFonts w:ascii="Arial" w:hAnsi="Arial" w:cs="Arial"/>
          <w:sz w:val="20"/>
        </w:rPr>
      </w:pPr>
      <w:r w:rsidRPr="00867E1D">
        <w:rPr>
          <w:rFonts w:ascii="Arial" w:hAnsi="Arial" w:cs="Arial"/>
          <w:sz w:val="20"/>
        </w:rPr>
        <w:t xml:space="preserve">Schriftleiter mittelstandsdepesche </w:t>
      </w:r>
    </w:p>
    <w:p w:rsidR="00867E1D" w:rsidRPr="00867E1D" w:rsidRDefault="00867E1D" w:rsidP="00867E1D">
      <w:pPr>
        <w:jc w:val="both"/>
        <w:rPr>
          <w:rFonts w:ascii="Arial" w:hAnsi="Arial" w:cs="Arial"/>
          <w:sz w:val="20"/>
        </w:rPr>
      </w:pPr>
      <w:r w:rsidRPr="00867E1D">
        <w:rPr>
          <w:rFonts w:ascii="Arial" w:hAnsi="Arial" w:cs="Arial"/>
          <w:sz w:val="20"/>
        </w:rPr>
        <w:t xml:space="preserve">Rechtsanwälte Dr. </w:t>
      </w:r>
      <w:proofErr w:type="spellStart"/>
      <w:r w:rsidRPr="00867E1D">
        <w:rPr>
          <w:rFonts w:ascii="Arial" w:hAnsi="Arial" w:cs="Arial"/>
          <w:sz w:val="20"/>
        </w:rPr>
        <w:t>Gaupp</w:t>
      </w:r>
      <w:proofErr w:type="spellEnd"/>
      <w:r w:rsidRPr="00867E1D">
        <w:rPr>
          <w:rFonts w:ascii="Arial" w:hAnsi="Arial" w:cs="Arial"/>
          <w:sz w:val="20"/>
        </w:rPr>
        <w:t xml:space="preserve"> &amp; </w:t>
      </w:r>
      <w:proofErr w:type="spellStart"/>
      <w:r w:rsidRPr="00867E1D">
        <w:rPr>
          <w:rFonts w:ascii="Arial" w:hAnsi="Arial" w:cs="Arial"/>
          <w:sz w:val="20"/>
        </w:rPr>
        <w:t>Coll</w:t>
      </w:r>
      <w:proofErr w:type="spellEnd"/>
      <w:r w:rsidRPr="00867E1D">
        <w:rPr>
          <w:rFonts w:ascii="Arial" w:hAnsi="Arial" w:cs="Arial"/>
          <w:sz w:val="20"/>
        </w:rPr>
        <w:t>.</w:t>
      </w:r>
    </w:p>
    <w:p w:rsidR="00867E1D" w:rsidRPr="00867E1D" w:rsidRDefault="00867E1D" w:rsidP="00867E1D">
      <w:pPr>
        <w:jc w:val="both"/>
        <w:rPr>
          <w:rFonts w:ascii="Arial" w:hAnsi="Arial" w:cs="Arial"/>
          <w:sz w:val="20"/>
        </w:rPr>
      </w:pPr>
      <w:r w:rsidRPr="00867E1D">
        <w:rPr>
          <w:rFonts w:ascii="Arial" w:hAnsi="Arial" w:cs="Arial"/>
          <w:sz w:val="20"/>
        </w:rPr>
        <w:t xml:space="preserve">Kronprinzstr. 14 </w:t>
      </w:r>
    </w:p>
    <w:p w:rsidR="00867E1D" w:rsidRPr="00867E1D" w:rsidRDefault="00867E1D" w:rsidP="00867E1D">
      <w:pPr>
        <w:jc w:val="both"/>
        <w:rPr>
          <w:rFonts w:ascii="Arial" w:hAnsi="Arial" w:cs="Arial"/>
          <w:sz w:val="20"/>
        </w:rPr>
      </w:pPr>
      <w:r w:rsidRPr="00867E1D">
        <w:rPr>
          <w:rFonts w:ascii="Arial" w:hAnsi="Arial" w:cs="Arial"/>
          <w:sz w:val="20"/>
        </w:rPr>
        <w:t>70173 Stuttgart</w:t>
      </w:r>
    </w:p>
    <w:p w:rsidR="00867E1D" w:rsidRPr="00867E1D" w:rsidRDefault="00867E1D" w:rsidP="00867E1D">
      <w:pPr>
        <w:jc w:val="both"/>
        <w:rPr>
          <w:rFonts w:ascii="Arial" w:hAnsi="Arial" w:cs="Arial"/>
          <w:sz w:val="20"/>
        </w:rPr>
      </w:pPr>
      <w:r w:rsidRPr="00867E1D">
        <w:rPr>
          <w:rFonts w:ascii="Arial" w:hAnsi="Arial" w:cs="Arial"/>
          <w:sz w:val="20"/>
        </w:rPr>
        <w:t>Tel.: 0711/ 30 58 93-0</w:t>
      </w:r>
      <w:r w:rsidRPr="00867E1D">
        <w:rPr>
          <w:rFonts w:ascii="Arial" w:hAnsi="Arial" w:cs="Arial"/>
          <w:sz w:val="20"/>
        </w:rPr>
        <w:tab/>
      </w:r>
      <w:r w:rsidRPr="00867E1D">
        <w:rPr>
          <w:rFonts w:ascii="Arial" w:hAnsi="Arial" w:cs="Arial"/>
          <w:sz w:val="20"/>
        </w:rPr>
        <w:tab/>
        <w:t>Fax: 0711/ 30 58 93-11</w:t>
      </w:r>
    </w:p>
    <w:p w:rsidR="00867E1D" w:rsidRPr="00867E1D" w:rsidRDefault="00867E1D" w:rsidP="00867E1D">
      <w:pPr>
        <w:jc w:val="both"/>
        <w:rPr>
          <w:rFonts w:ascii="Arial" w:hAnsi="Arial" w:cs="Arial"/>
          <w:sz w:val="20"/>
        </w:rPr>
      </w:pPr>
      <w:r w:rsidRPr="00867E1D">
        <w:rPr>
          <w:rFonts w:ascii="Arial" w:hAnsi="Arial" w:cs="Arial"/>
          <w:sz w:val="20"/>
        </w:rPr>
        <w:t xml:space="preserve">E-Mail: </w:t>
      </w:r>
      <w:hyperlink r:id="rId7" w:history="1">
        <w:r w:rsidRPr="00867E1D">
          <w:rPr>
            <w:rStyle w:val="Hyperlink"/>
            <w:rFonts w:ascii="Arial" w:hAnsi="Arial" w:cs="Arial"/>
            <w:sz w:val="20"/>
          </w:rPr>
          <w:t>henn@drgaupp.de</w:t>
        </w:r>
      </w:hyperlink>
      <w:r w:rsidRPr="00867E1D">
        <w:rPr>
          <w:rFonts w:ascii="Arial" w:hAnsi="Arial" w:cs="Arial"/>
          <w:sz w:val="20"/>
        </w:rPr>
        <w:tab/>
      </w:r>
      <w:hyperlink r:id="rId8" w:history="1">
        <w:r w:rsidRPr="00867E1D">
          <w:rPr>
            <w:rStyle w:val="Hyperlink"/>
            <w:rFonts w:ascii="Arial" w:hAnsi="Arial" w:cs="Arial"/>
            <w:sz w:val="20"/>
          </w:rPr>
          <w:t>www.drgaupp.de</w:t>
        </w:r>
      </w:hyperlink>
    </w:p>
    <w:sectPr w:rsidR="00867E1D" w:rsidRPr="00867E1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34" w:rsidRDefault="00DA7D34" w:rsidP="00DA7D34">
      <w:r>
        <w:separator/>
      </w:r>
    </w:p>
  </w:endnote>
  <w:endnote w:type="continuationSeparator" w:id="0">
    <w:p w:rsidR="00DA7D34" w:rsidRDefault="00DA7D34" w:rsidP="00DA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34" w:rsidRDefault="00DA7D34" w:rsidP="00DA7D34">
      <w:r>
        <w:separator/>
      </w:r>
    </w:p>
  </w:footnote>
  <w:footnote w:type="continuationSeparator" w:id="0">
    <w:p w:rsidR="00DA7D34" w:rsidRDefault="00DA7D34" w:rsidP="00DA7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34" w:rsidRPr="00927B09" w:rsidRDefault="00DA7D34" w:rsidP="00DA7D34">
    <w:pPr>
      <w:tabs>
        <w:tab w:val="center" w:pos="4819"/>
        <w:tab w:val="right" w:pos="9071"/>
      </w:tabs>
      <w:jc w:val="center"/>
      <w:rPr>
        <w:rFonts w:ascii="Arial" w:eastAsia="Times New Roman" w:hAnsi="Arial" w:cs="Arial"/>
        <w:szCs w:val="20"/>
      </w:rPr>
    </w:pPr>
    <w:r w:rsidRPr="00927B09">
      <w:rPr>
        <w:rFonts w:ascii="Arial" w:eastAsia="Times New Roman" w:hAnsi="Arial" w:cs="Arial"/>
        <w:b/>
        <w:bCs/>
        <w:sz w:val="28"/>
        <w:szCs w:val="28"/>
      </w:rPr>
      <w:t>mittelstandsdepesche 1</w:t>
    </w:r>
    <w:r>
      <w:rPr>
        <w:rFonts w:ascii="Arial" w:eastAsia="Times New Roman" w:hAnsi="Arial" w:cs="Arial"/>
        <w:b/>
        <w:bCs/>
        <w:sz w:val="28"/>
        <w:szCs w:val="28"/>
      </w:rPr>
      <w:t>2</w:t>
    </w:r>
    <w:r w:rsidRPr="00927B09">
      <w:rPr>
        <w:rFonts w:ascii="Arial" w:eastAsia="Times New Roman" w:hAnsi="Arial" w:cs="Arial"/>
        <w:b/>
        <w:bCs/>
        <w:sz w:val="28"/>
        <w:szCs w:val="2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720C"/>
    <w:multiLevelType w:val="multilevel"/>
    <w:tmpl w:val="F31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65DD8"/>
    <w:multiLevelType w:val="multilevel"/>
    <w:tmpl w:val="C9C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E0461"/>
    <w:multiLevelType w:val="multilevel"/>
    <w:tmpl w:val="5F34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539CD"/>
    <w:multiLevelType w:val="multilevel"/>
    <w:tmpl w:val="3E8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93D30"/>
    <w:multiLevelType w:val="multilevel"/>
    <w:tmpl w:val="33E8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97725"/>
    <w:multiLevelType w:val="multilevel"/>
    <w:tmpl w:val="2BDE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D3607"/>
    <w:multiLevelType w:val="multilevel"/>
    <w:tmpl w:val="B67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06B52"/>
    <w:multiLevelType w:val="hybridMultilevel"/>
    <w:tmpl w:val="4846FB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0040D5"/>
    <w:multiLevelType w:val="multilevel"/>
    <w:tmpl w:val="C96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F8"/>
    <w:rsid w:val="001B21BD"/>
    <w:rsid w:val="0033290C"/>
    <w:rsid w:val="00867E1D"/>
    <w:rsid w:val="00DA7D34"/>
    <w:rsid w:val="00EB7202"/>
    <w:rsid w:val="00EE2FF8"/>
    <w:rsid w:val="00EF6D35"/>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39EE4-432D-46BD-B5FD-3C5A785B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2FF8"/>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EE2F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B7202"/>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link w:val="berschrift4Zchn"/>
    <w:uiPriority w:val="9"/>
    <w:semiHidden/>
    <w:unhideWhenUsed/>
    <w:qFormat/>
    <w:rsid w:val="00EE2FF8"/>
    <w:pPr>
      <w:spacing w:after="150"/>
      <w:outlineLvl w:val="3"/>
    </w:pPr>
    <w:rPr>
      <w:color w:val="66666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EE2FF8"/>
    <w:rPr>
      <w:rFonts w:asciiTheme="majorHAnsi" w:eastAsiaTheme="majorEastAsia" w:hAnsiTheme="majorHAnsi" w:cstheme="majorBidi"/>
      <w:color w:val="2E74B5" w:themeColor="accent1" w:themeShade="BF"/>
      <w:sz w:val="26"/>
      <w:szCs w:val="26"/>
      <w:lang w:eastAsia="de-DE"/>
    </w:rPr>
  </w:style>
  <w:style w:type="character" w:customStyle="1" w:styleId="berschrift4Zchn">
    <w:name w:val="Überschrift 4 Zchn"/>
    <w:basedOn w:val="Absatz-Standardschriftart"/>
    <w:link w:val="berschrift4"/>
    <w:uiPriority w:val="9"/>
    <w:semiHidden/>
    <w:rsid w:val="00EE2FF8"/>
    <w:rPr>
      <w:rFonts w:ascii="Times New Roman" w:hAnsi="Times New Roman" w:cs="Times New Roman"/>
      <w:color w:val="666666"/>
      <w:sz w:val="21"/>
      <w:szCs w:val="21"/>
      <w:lang w:eastAsia="de-DE"/>
    </w:rPr>
  </w:style>
  <w:style w:type="character" w:styleId="Fett">
    <w:name w:val="Strong"/>
    <w:basedOn w:val="Absatz-Standardschriftart"/>
    <w:uiPriority w:val="22"/>
    <w:qFormat/>
    <w:rsid w:val="00EE2FF8"/>
    <w:rPr>
      <w:b/>
      <w:bCs/>
    </w:rPr>
  </w:style>
  <w:style w:type="character" w:styleId="Hyperlink">
    <w:name w:val="Hyperlink"/>
    <w:basedOn w:val="Absatz-Standardschriftart"/>
    <w:uiPriority w:val="99"/>
    <w:unhideWhenUsed/>
    <w:rsid w:val="00EE2FF8"/>
    <w:rPr>
      <w:color w:val="0000FF"/>
      <w:u w:val="single"/>
    </w:rPr>
  </w:style>
  <w:style w:type="character" w:customStyle="1" w:styleId="doclink">
    <w:name w:val="doclink"/>
    <w:basedOn w:val="Absatz-Standardschriftart"/>
    <w:rsid w:val="00EE2FF8"/>
  </w:style>
  <w:style w:type="paragraph" w:styleId="StandardWeb">
    <w:name w:val="Normal (Web)"/>
    <w:basedOn w:val="Standard"/>
    <w:uiPriority w:val="99"/>
    <w:semiHidden/>
    <w:unhideWhenUsed/>
    <w:rsid w:val="00EE2FF8"/>
    <w:pPr>
      <w:spacing w:before="100" w:beforeAutospacing="1" w:after="100" w:afterAutospacing="1"/>
    </w:pPr>
    <w:rPr>
      <w:rFonts w:eastAsia="Times New Roman"/>
    </w:rPr>
  </w:style>
  <w:style w:type="character" w:customStyle="1" w:styleId="berschrift3Zchn">
    <w:name w:val="Überschrift 3 Zchn"/>
    <w:basedOn w:val="Absatz-Standardschriftart"/>
    <w:link w:val="berschrift3"/>
    <w:uiPriority w:val="9"/>
    <w:semiHidden/>
    <w:rsid w:val="00EB7202"/>
    <w:rPr>
      <w:rFonts w:asciiTheme="majorHAnsi" w:eastAsiaTheme="majorEastAsia" w:hAnsiTheme="majorHAnsi" w:cstheme="majorBidi"/>
      <w:color w:val="1F4D78" w:themeColor="accent1" w:themeShade="7F"/>
      <w:sz w:val="24"/>
      <w:szCs w:val="24"/>
      <w:lang w:eastAsia="de-DE"/>
    </w:rPr>
  </w:style>
  <w:style w:type="paragraph" w:styleId="Listenabsatz">
    <w:name w:val="List Paragraph"/>
    <w:basedOn w:val="Standard"/>
    <w:uiPriority w:val="34"/>
    <w:qFormat/>
    <w:rsid w:val="0033290C"/>
    <w:pPr>
      <w:ind w:left="720"/>
      <w:contextualSpacing/>
    </w:pPr>
  </w:style>
  <w:style w:type="paragraph" w:customStyle="1" w:styleId="bssmall">
    <w:name w:val="bssmall"/>
    <w:basedOn w:val="Standard"/>
    <w:rsid w:val="0033290C"/>
    <w:pPr>
      <w:spacing w:before="100" w:beforeAutospacing="1" w:after="100" w:afterAutospacing="1"/>
    </w:pPr>
    <w:rPr>
      <w:rFonts w:eastAsia="Times New Roman"/>
    </w:rPr>
  </w:style>
  <w:style w:type="paragraph" w:styleId="Kopfzeile">
    <w:name w:val="header"/>
    <w:basedOn w:val="Standard"/>
    <w:link w:val="KopfzeileZchn"/>
    <w:uiPriority w:val="99"/>
    <w:unhideWhenUsed/>
    <w:rsid w:val="00DA7D34"/>
    <w:pPr>
      <w:tabs>
        <w:tab w:val="center" w:pos="4536"/>
        <w:tab w:val="right" w:pos="9072"/>
      </w:tabs>
    </w:pPr>
  </w:style>
  <w:style w:type="character" w:customStyle="1" w:styleId="KopfzeileZchn">
    <w:name w:val="Kopfzeile Zchn"/>
    <w:basedOn w:val="Absatz-Standardschriftart"/>
    <w:link w:val="Kopfzeile"/>
    <w:uiPriority w:val="99"/>
    <w:rsid w:val="00DA7D34"/>
    <w:rPr>
      <w:rFonts w:ascii="Times New Roman" w:hAnsi="Times New Roman" w:cs="Times New Roman"/>
      <w:sz w:val="24"/>
      <w:szCs w:val="24"/>
      <w:lang w:eastAsia="de-DE"/>
    </w:rPr>
  </w:style>
  <w:style w:type="paragraph" w:styleId="Fuzeile">
    <w:name w:val="footer"/>
    <w:basedOn w:val="Standard"/>
    <w:link w:val="FuzeileZchn"/>
    <w:uiPriority w:val="99"/>
    <w:unhideWhenUsed/>
    <w:rsid w:val="00DA7D34"/>
    <w:pPr>
      <w:tabs>
        <w:tab w:val="center" w:pos="4536"/>
        <w:tab w:val="right" w:pos="9072"/>
      </w:tabs>
    </w:pPr>
  </w:style>
  <w:style w:type="character" w:customStyle="1" w:styleId="FuzeileZchn">
    <w:name w:val="Fußzeile Zchn"/>
    <w:basedOn w:val="Absatz-Standardschriftart"/>
    <w:link w:val="Fuzeile"/>
    <w:uiPriority w:val="99"/>
    <w:rsid w:val="00DA7D34"/>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4215">
      <w:bodyDiv w:val="1"/>
      <w:marLeft w:val="0"/>
      <w:marRight w:val="0"/>
      <w:marTop w:val="0"/>
      <w:marBottom w:val="0"/>
      <w:divBdr>
        <w:top w:val="none" w:sz="0" w:space="0" w:color="auto"/>
        <w:left w:val="none" w:sz="0" w:space="0" w:color="auto"/>
        <w:bottom w:val="none" w:sz="0" w:space="0" w:color="auto"/>
        <w:right w:val="none" w:sz="0" w:space="0" w:color="auto"/>
      </w:divBdr>
      <w:divsChild>
        <w:div w:id="1780642634">
          <w:marLeft w:val="0"/>
          <w:marRight w:val="0"/>
          <w:marTop w:val="0"/>
          <w:marBottom w:val="0"/>
          <w:divBdr>
            <w:top w:val="none" w:sz="0" w:space="0" w:color="auto"/>
            <w:left w:val="none" w:sz="0" w:space="0" w:color="auto"/>
            <w:bottom w:val="none" w:sz="0" w:space="0" w:color="auto"/>
            <w:right w:val="none" w:sz="0" w:space="0" w:color="auto"/>
          </w:divBdr>
          <w:divsChild>
            <w:div w:id="724183746">
              <w:marLeft w:val="0"/>
              <w:marRight w:val="0"/>
              <w:marTop w:val="0"/>
              <w:marBottom w:val="0"/>
              <w:divBdr>
                <w:top w:val="none" w:sz="0" w:space="0" w:color="auto"/>
                <w:left w:val="none" w:sz="0" w:space="0" w:color="auto"/>
                <w:bottom w:val="none" w:sz="0" w:space="0" w:color="auto"/>
                <w:right w:val="none" w:sz="0" w:space="0" w:color="auto"/>
              </w:divBdr>
              <w:divsChild>
                <w:div w:id="195044325">
                  <w:marLeft w:val="0"/>
                  <w:marRight w:val="0"/>
                  <w:marTop w:val="0"/>
                  <w:marBottom w:val="0"/>
                  <w:divBdr>
                    <w:top w:val="none" w:sz="0" w:space="0" w:color="auto"/>
                    <w:left w:val="none" w:sz="0" w:space="0" w:color="auto"/>
                    <w:bottom w:val="none" w:sz="0" w:space="0" w:color="auto"/>
                    <w:right w:val="none" w:sz="0" w:space="0" w:color="auto"/>
                  </w:divBdr>
                  <w:divsChild>
                    <w:div w:id="10314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0686">
          <w:marLeft w:val="0"/>
          <w:marRight w:val="0"/>
          <w:marTop w:val="0"/>
          <w:marBottom w:val="0"/>
          <w:divBdr>
            <w:top w:val="none" w:sz="0" w:space="0" w:color="auto"/>
            <w:left w:val="none" w:sz="0" w:space="0" w:color="auto"/>
            <w:bottom w:val="none" w:sz="0" w:space="0" w:color="auto"/>
            <w:right w:val="none" w:sz="0" w:space="0" w:color="auto"/>
          </w:divBdr>
        </w:div>
        <w:div w:id="766270041">
          <w:marLeft w:val="0"/>
          <w:marRight w:val="0"/>
          <w:marTop w:val="0"/>
          <w:marBottom w:val="0"/>
          <w:divBdr>
            <w:top w:val="none" w:sz="0" w:space="0" w:color="auto"/>
            <w:left w:val="none" w:sz="0" w:space="0" w:color="auto"/>
            <w:bottom w:val="none" w:sz="0" w:space="0" w:color="auto"/>
            <w:right w:val="none" w:sz="0" w:space="0" w:color="auto"/>
          </w:divBdr>
          <w:divsChild>
            <w:div w:id="1413697272">
              <w:marLeft w:val="0"/>
              <w:marRight w:val="0"/>
              <w:marTop w:val="0"/>
              <w:marBottom w:val="0"/>
              <w:divBdr>
                <w:top w:val="none" w:sz="0" w:space="0" w:color="auto"/>
                <w:left w:val="none" w:sz="0" w:space="0" w:color="auto"/>
                <w:bottom w:val="none" w:sz="0" w:space="0" w:color="auto"/>
                <w:right w:val="none" w:sz="0" w:space="0" w:color="auto"/>
              </w:divBdr>
              <w:divsChild>
                <w:div w:id="493687744">
                  <w:marLeft w:val="0"/>
                  <w:marRight w:val="0"/>
                  <w:marTop w:val="0"/>
                  <w:marBottom w:val="0"/>
                  <w:divBdr>
                    <w:top w:val="none" w:sz="0" w:space="0" w:color="auto"/>
                    <w:left w:val="none" w:sz="0" w:space="0" w:color="auto"/>
                    <w:bottom w:val="none" w:sz="0" w:space="0" w:color="auto"/>
                    <w:right w:val="none" w:sz="0" w:space="0" w:color="auto"/>
                  </w:divBdr>
                </w:div>
                <w:div w:id="1440877718">
                  <w:marLeft w:val="0"/>
                  <w:marRight w:val="0"/>
                  <w:marTop w:val="0"/>
                  <w:marBottom w:val="0"/>
                  <w:divBdr>
                    <w:top w:val="none" w:sz="0" w:space="0" w:color="auto"/>
                    <w:left w:val="none" w:sz="0" w:space="0" w:color="auto"/>
                    <w:bottom w:val="none" w:sz="0" w:space="0" w:color="auto"/>
                    <w:right w:val="none" w:sz="0" w:space="0" w:color="auto"/>
                  </w:divBdr>
                  <w:divsChild>
                    <w:div w:id="12558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2257">
      <w:bodyDiv w:val="1"/>
      <w:marLeft w:val="0"/>
      <w:marRight w:val="0"/>
      <w:marTop w:val="0"/>
      <w:marBottom w:val="0"/>
      <w:divBdr>
        <w:top w:val="none" w:sz="0" w:space="0" w:color="auto"/>
        <w:left w:val="none" w:sz="0" w:space="0" w:color="auto"/>
        <w:bottom w:val="none" w:sz="0" w:space="0" w:color="auto"/>
        <w:right w:val="none" w:sz="0" w:space="0" w:color="auto"/>
      </w:divBdr>
      <w:divsChild>
        <w:div w:id="84226445">
          <w:marLeft w:val="0"/>
          <w:marRight w:val="0"/>
          <w:marTop w:val="0"/>
          <w:marBottom w:val="0"/>
          <w:divBdr>
            <w:top w:val="none" w:sz="0" w:space="0" w:color="auto"/>
            <w:left w:val="none" w:sz="0" w:space="0" w:color="auto"/>
            <w:bottom w:val="none" w:sz="0" w:space="0" w:color="auto"/>
            <w:right w:val="none" w:sz="0" w:space="0" w:color="auto"/>
          </w:divBdr>
          <w:divsChild>
            <w:div w:id="1625501292">
              <w:marLeft w:val="0"/>
              <w:marRight w:val="0"/>
              <w:marTop w:val="0"/>
              <w:marBottom w:val="0"/>
              <w:divBdr>
                <w:top w:val="none" w:sz="0" w:space="0" w:color="auto"/>
                <w:left w:val="none" w:sz="0" w:space="0" w:color="auto"/>
                <w:bottom w:val="none" w:sz="0" w:space="0" w:color="auto"/>
                <w:right w:val="none" w:sz="0" w:space="0" w:color="auto"/>
              </w:divBdr>
              <w:divsChild>
                <w:div w:id="1542130608">
                  <w:marLeft w:val="0"/>
                  <w:marRight w:val="0"/>
                  <w:marTop w:val="0"/>
                  <w:marBottom w:val="0"/>
                  <w:divBdr>
                    <w:top w:val="none" w:sz="0" w:space="0" w:color="auto"/>
                    <w:left w:val="none" w:sz="0" w:space="0" w:color="auto"/>
                    <w:bottom w:val="none" w:sz="0" w:space="0" w:color="auto"/>
                    <w:right w:val="none" w:sz="0" w:space="0" w:color="auto"/>
                  </w:divBdr>
                  <w:divsChild>
                    <w:div w:id="2092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6742">
          <w:marLeft w:val="0"/>
          <w:marRight w:val="0"/>
          <w:marTop w:val="0"/>
          <w:marBottom w:val="0"/>
          <w:divBdr>
            <w:top w:val="none" w:sz="0" w:space="0" w:color="auto"/>
            <w:left w:val="none" w:sz="0" w:space="0" w:color="auto"/>
            <w:bottom w:val="none" w:sz="0" w:space="0" w:color="auto"/>
            <w:right w:val="none" w:sz="0" w:space="0" w:color="auto"/>
          </w:divBdr>
        </w:div>
        <w:div w:id="1381126050">
          <w:marLeft w:val="0"/>
          <w:marRight w:val="0"/>
          <w:marTop w:val="0"/>
          <w:marBottom w:val="0"/>
          <w:divBdr>
            <w:top w:val="none" w:sz="0" w:space="0" w:color="auto"/>
            <w:left w:val="none" w:sz="0" w:space="0" w:color="auto"/>
            <w:bottom w:val="none" w:sz="0" w:space="0" w:color="auto"/>
            <w:right w:val="none" w:sz="0" w:space="0" w:color="auto"/>
          </w:divBdr>
          <w:divsChild>
            <w:div w:id="81874227">
              <w:marLeft w:val="0"/>
              <w:marRight w:val="0"/>
              <w:marTop w:val="0"/>
              <w:marBottom w:val="0"/>
              <w:divBdr>
                <w:top w:val="none" w:sz="0" w:space="0" w:color="auto"/>
                <w:left w:val="none" w:sz="0" w:space="0" w:color="auto"/>
                <w:bottom w:val="none" w:sz="0" w:space="0" w:color="auto"/>
                <w:right w:val="none" w:sz="0" w:space="0" w:color="auto"/>
              </w:divBdr>
              <w:divsChild>
                <w:div w:id="2119836508">
                  <w:marLeft w:val="-300"/>
                  <w:marRight w:val="0"/>
                  <w:marTop w:val="60"/>
                  <w:marBottom w:val="0"/>
                  <w:divBdr>
                    <w:top w:val="none" w:sz="0" w:space="0" w:color="auto"/>
                    <w:left w:val="none" w:sz="0" w:space="0" w:color="auto"/>
                    <w:bottom w:val="none" w:sz="0" w:space="0" w:color="auto"/>
                    <w:right w:val="none" w:sz="0" w:space="0" w:color="auto"/>
                  </w:divBdr>
                </w:div>
              </w:divsChild>
            </w:div>
            <w:div w:id="377097262">
              <w:marLeft w:val="0"/>
              <w:marRight w:val="0"/>
              <w:marTop w:val="0"/>
              <w:marBottom w:val="0"/>
              <w:divBdr>
                <w:top w:val="none" w:sz="0" w:space="0" w:color="auto"/>
                <w:left w:val="none" w:sz="0" w:space="0" w:color="auto"/>
                <w:bottom w:val="none" w:sz="0" w:space="0" w:color="auto"/>
                <w:right w:val="none" w:sz="0" w:space="0" w:color="auto"/>
              </w:divBdr>
              <w:divsChild>
                <w:div w:id="1258947052">
                  <w:marLeft w:val="0"/>
                  <w:marRight w:val="0"/>
                  <w:marTop w:val="0"/>
                  <w:marBottom w:val="0"/>
                  <w:divBdr>
                    <w:top w:val="none" w:sz="0" w:space="0" w:color="auto"/>
                    <w:left w:val="none" w:sz="0" w:space="0" w:color="auto"/>
                    <w:bottom w:val="none" w:sz="0" w:space="0" w:color="auto"/>
                    <w:right w:val="none" w:sz="0" w:space="0" w:color="auto"/>
                  </w:divBdr>
                </w:div>
                <w:div w:id="1101872134">
                  <w:marLeft w:val="0"/>
                  <w:marRight w:val="0"/>
                  <w:marTop w:val="0"/>
                  <w:marBottom w:val="0"/>
                  <w:divBdr>
                    <w:top w:val="none" w:sz="0" w:space="0" w:color="auto"/>
                    <w:left w:val="none" w:sz="0" w:space="0" w:color="auto"/>
                    <w:bottom w:val="none" w:sz="0" w:space="0" w:color="auto"/>
                    <w:right w:val="none" w:sz="0" w:space="0" w:color="auto"/>
                  </w:divBdr>
                  <w:divsChild>
                    <w:div w:id="1116564232">
                      <w:marLeft w:val="0"/>
                      <w:marRight w:val="0"/>
                      <w:marTop w:val="0"/>
                      <w:marBottom w:val="0"/>
                      <w:divBdr>
                        <w:top w:val="none" w:sz="0" w:space="0" w:color="auto"/>
                        <w:left w:val="none" w:sz="0" w:space="0" w:color="auto"/>
                        <w:bottom w:val="none" w:sz="0" w:space="0" w:color="auto"/>
                        <w:right w:val="none" w:sz="0" w:space="0" w:color="auto"/>
                      </w:divBdr>
                    </w:div>
                  </w:divsChild>
                </w:div>
                <w:div w:id="1146553252">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sChild>
                    <w:div w:id="9553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19631">
      <w:bodyDiv w:val="1"/>
      <w:marLeft w:val="0"/>
      <w:marRight w:val="0"/>
      <w:marTop w:val="0"/>
      <w:marBottom w:val="0"/>
      <w:divBdr>
        <w:top w:val="none" w:sz="0" w:space="0" w:color="auto"/>
        <w:left w:val="none" w:sz="0" w:space="0" w:color="auto"/>
        <w:bottom w:val="none" w:sz="0" w:space="0" w:color="auto"/>
        <w:right w:val="none" w:sz="0" w:space="0" w:color="auto"/>
      </w:divBdr>
    </w:div>
    <w:div w:id="1144929281">
      <w:bodyDiv w:val="1"/>
      <w:marLeft w:val="0"/>
      <w:marRight w:val="0"/>
      <w:marTop w:val="0"/>
      <w:marBottom w:val="0"/>
      <w:divBdr>
        <w:top w:val="none" w:sz="0" w:space="0" w:color="auto"/>
        <w:left w:val="none" w:sz="0" w:space="0" w:color="auto"/>
        <w:bottom w:val="none" w:sz="0" w:space="0" w:color="auto"/>
        <w:right w:val="none" w:sz="0" w:space="0" w:color="auto"/>
      </w:divBdr>
    </w:div>
    <w:div w:id="1189367403">
      <w:bodyDiv w:val="1"/>
      <w:marLeft w:val="0"/>
      <w:marRight w:val="0"/>
      <w:marTop w:val="0"/>
      <w:marBottom w:val="0"/>
      <w:divBdr>
        <w:top w:val="none" w:sz="0" w:space="0" w:color="auto"/>
        <w:left w:val="none" w:sz="0" w:space="0" w:color="auto"/>
        <w:bottom w:val="none" w:sz="0" w:space="0" w:color="auto"/>
        <w:right w:val="none" w:sz="0" w:space="0" w:color="auto"/>
      </w:divBdr>
      <w:divsChild>
        <w:div w:id="1030423087">
          <w:marLeft w:val="0"/>
          <w:marRight w:val="0"/>
          <w:marTop w:val="0"/>
          <w:marBottom w:val="0"/>
          <w:divBdr>
            <w:top w:val="none" w:sz="0" w:space="0" w:color="auto"/>
            <w:left w:val="none" w:sz="0" w:space="0" w:color="auto"/>
            <w:bottom w:val="none" w:sz="0" w:space="0" w:color="auto"/>
            <w:right w:val="none" w:sz="0" w:space="0" w:color="auto"/>
          </w:divBdr>
          <w:divsChild>
            <w:div w:id="183595134">
              <w:marLeft w:val="0"/>
              <w:marRight w:val="0"/>
              <w:marTop w:val="0"/>
              <w:marBottom w:val="0"/>
              <w:divBdr>
                <w:top w:val="none" w:sz="0" w:space="0" w:color="auto"/>
                <w:left w:val="none" w:sz="0" w:space="0" w:color="auto"/>
                <w:bottom w:val="none" w:sz="0" w:space="0" w:color="auto"/>
                <w:right w:val="none" w:sz="0" w:space="0" w:color="auto"/>
              </w:divBdr>
              <w:divsChild>
                <w:div w:id="669990860">
                  <w:marLeft w:val="0"/>
                  <w:marRight w:val="0"/>
                  <w:marTop w:val="0"/>
                  <w:marBottom w:val="0"/>
                  <w:divBdr>
                    <w:top w:val="none" w:sz="0" w:space="0" w:color="auto"/>
                    <w:left w:val="none" w:sz="0" w:space="0" w:color="auto"/>
                    <w:bottom w:val="none" w:sz="0" w:space="0" w:color="auto"/>
                    <w:right w:val="none" w:sz="0" w:space="0" w:color="auto"/>
                  </w:divBdr>
                  <w:divsChild>
                    <w:div w:id="4243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4959">
          <w:marLeft w:val="0"/>
          <w:marRight w:val="0"/>
          <w:marTop w:val="0"/>
          <w:marBottom w:val="0"/>
          <w:divBdr>
            <w:top w:val="none" w:sz="0" w:space="0" w:color="auto"/>
            <w:left w:val="none" w:sz="0" w:space="0" w:color="auto"/>
            <w:bottom w:val="none" w:sz="0" w:space="0" w:color="auto"/>
            <w:right w:val="none" w:sz="0" w:space="0" w:color="auto"/>
          </w:divBdr>
        </w:div>
        <w:div w:id="1783302420">
          <w:marLeft w:val="0"/>
          <w:marRight w:val="0"/>
          <w:marTop w:val="0"/>
          <w:marBottom w:val="0"/>
          <w:divBdr>
            <w:top w:val="none" w:sz="0" w:space="0" w:color="auto"/>
            <w:left w:val="none" w:sz="0" w:space="0" w:color="auto"/>
            <w:bottom w:val="none" w:sz="0" w:space="0" w:color="auto"/>
            <w:right w:val="none" w:sz="0" w:space="0" w:color="auto"/>
          </w:divBdr>
          <w:divsChild>
            <w:div w:id="1963068870">
              <w:marLeft w:val="0"/>
              <w:marRight w:val="0"/>
              <w:marTop w:val="0"/>
              <w:marBottom w:val="0"/>
              <w:divBdr>
                <w:top w:val="none" w:sz="0" w:space="0" w:color="auto"/>
                <w:left w:val="none" w:sz="0" w:space="0" w:color="auto"/>
                <w:bottom w:val="none" w:sz="0" w:space="0" w:color="auto"/>
                <w:right w:val="none" w:sz="0" w:space="0" w:color="auto"/>
              </w:divBdr>
              <w:divsChild>
                <w:div w:id="356586781">
                  <w:marLeft w:val="-300"/>
                  <w:marRight w:val="0"/>
                  <w:marTop w:val="60"/>
                  <w:marBottom w:val="0"/>
                  <w:divBdr>
                    <w:top w:val="none" w:sz="0" w:space="0" w:color="auto"/>
                    <w:left w:val="none" w:sz="0" w:space="0" w:color="auto"/>
                    <w:bottom w:val="none" w:sz="0" w:space="0" w:color="auto"/>
                    <w:right w:val="none" w:sz="0" w:space="0" w:color="auto"/>
                  </w:divBdr>
                </w:div>
              </w:divsChild>
            </w:div>
            <w:div w:id="1741753027">
              <w:marLeft w:val="0"/>
              <w:marRight w:val="0"/>
              <w:marTop w:val="0"/>
              <w:marBottom w:val="0"/>
              <w:divBdr>
                <w:top w:val="none" w:sz="0" w:space="0" w:color="auto"/>
                <w:left w:val="none" w:sz="0" w:space="0" w:color="auto"/>
                <w:bottom w:val="none" w:sz="0" w:space="0" w:color="auto"/>
                <w:right w:val="none" w:sz="0" w:space="0" w:color="auto"/>
              </w:divBdr>
              <w:divsChild>
                <w:div w:id="12197431">
                  <w:marLeft w:val="0"/>
                  <w:marRight w:val="0"/>
                  <w:marTop w:val="0"/>
                  <w:marBottom w:val="0"/>
                  <w:divBdr>
                    <w:top w:val="none" w:sz="0" w:space="0" w:color="auto"/>
                    <w:left w:val="none" w:sz="0" w:space="0" w:color="auto"/>
                    <w:bottom w:val="none" w:sz="0" w:space="0" w:color="auto"/>
                    <w:right w:val="none" w:sz="0" w:space="0" w:color="auto"/>
                  </w:divBdr>
                </w:div>
                <w:div w:id="1320888192">
                  <w:marLeft w:val="0"/>
                  <w:marRight w:val="0"/>
                  <w:marTop w:val="0"/>
                  <w:marBottom w:val="0"/>
                  <w:divBdr>
                    <w:top w:val="none" w:sz="0" w:space="0" w:color="auto"/>
                    <w:left w:val="none" w:sz="0" w:space="0" w:color="auto"/>
                    <w:bottom w:val="none" w:sz="0" w:space="0" w:color="auto"/>
                    <w:right w:val="none" w:sz="0" w:space="0" w:color="auto"/>
                  </w:divBdr>
                  <w:divsChild>
                    <w:div w:id="11194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9560">
      <w:bodyDiv w:val="1"/>
      <w:marLeft w:val="0"/>
      <w:marRight w:val="0"/>
      <w:marTop w:val="0"/>
      <w:marBottom w:val="0"/>
      <w:divBdr>
        <w:top w:val="none" w:sz="0" w:space="0" w:color="auto"/>
        <w:left w:val="none" w:sz="0" w:space="0" w:color="auto"/>
        <w:bottom w:val="none" w:sz="0" w:space="0" w:color="auto"/>
        <w:right w:val="none" w:sz="0" w:space="0" w:color="auto"/>
      </w:divBdr>
      <w:divsChild>
        <w:div w:id="1273434845">
          <w:marLeft w:val="0"/>
          <w:marRight w:val="0"/>
          <w:marTop w:val="0"/>
          <w:marBottom w:val="0"/>
          <w:divBdr>
            <w:top w:val="none" w:sz="0" w:space="0" w:color="auto"/>
            <w:left w:val="none" w:sz="0" w:space="0" w:color="auto"/>
            <w:bottom w:val="none" w:sz="0" w:space="0" w:color="auto"/>
            <w:right w:val="none" w:sz="0" w:space="0" w:color="auto"/>
          </w:divBdr>
          <w:divsChild>
            <w:div w:id="1082603296">
              <w:marLeft w:val="0"/>
              <w:marRight w:val="0"/>
              <w:marTop w:val="0"/>
              <w:marBottom w:val="0"/>
              <w:divBdr>
                <w:top w:val="none" w:sz="0" w:space="0" w:color="auto"/>
                <w:left w:val="none" w:sz="0" w:space="0" w:color="auto"/>
                <w:bottom w:val="none" w:sz="0" w:space="0" w:color="auto"/>
                <w:right w:val="none" w:sz="0" w:space="0" w:color="auto"/>
              </w:divBdr>
              <w:divsChild>
                <w:div w:id="391271428">
                  <w:marLeft w:val="0"/>
                  <w:marRight w:val="0"/>
                  <w:marTop w:val="0"/>
                  <w:marBottom w:val="0"/>
                  <w:divBdr>
                    <w:top w:val="none" w:sz="0" w:space="0" w:color="auto"/>
                    <w:left w:val="none" w:sz="0" w:space="0" w:color="auto"/>
                    <w:bottom w:val="none" w:sz="0" w:space="0" w:color="auto"/>
                    <w:right w:val="none" w:sz="0" w:space="0" w:color="auto"/>
                  </w:divBdr>
                  <w:divsChild>
                    <w:div w:id="135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11841">
          <w:marLeft w:val="0"/>
          <w:marRight w:val="0"/>
          <w:marTop w:val="0"/>
          <w:marBottom w:val="0"/>
          <w:divBdr>
            <w:top w:val="none" w:sz="0" w:space="0" w:color="auto"/>
            <w:left w:val="none" w:sz="0" w:space="0" w:color="auto"/>
            <w:bottom w:val="none" w:sz="0" w:space="0" w:color="auto"/>
            <w:right w:val="none" w:sz="0" w:space="0" w:color="auto"/>
          </w:divBdr>
        </w:div>
        <w:div w:id="1441992357">
          <w:marLeft w:val="0"/>
          <w:marRight w:val="0"/>
          <w:marTop w:val="0"/>
          <w:marBottom w:val="0"/>
          <w:divBdr>
            <w:top w:val="none" w:sz="0" w:space="0" w:color="auto"/>
            <w:left w:val="none" w:sz="0" w:space="0" w:color="auto"/>
            <w:bottom w:val="none" w:sz="0" w:space="0" w:color="auto"/>
            <w:right w:val="none" w:sz="0" w:space="0" w:color="auto"/>
          </w:divBdr>
          <w:divsChild>
            <w:div w:id="1739093492">
              <w:marLeft w:val="0"/>
              <w:marRight w:val="0"/>
              <w:marTop w:val="0"/>
              <w:marBottom w:val="0"/>
              <w:divBdr>
                <w:top w:val="none" w:sz="0" w:space="0" w:color="auto"/>
                <w:left w:val="none" w:sz="0" w:space="0" w:color="auto"/>
                <w:bottom w:val="none" w:sz="0" w:space="0" w:color="auto"/>
                <w:right w:val="none" w:sz="0" w:space="0" w:color="auto"/>
              </w:divBdr>
              <w:divsChild>
                <w:div w:id="2094810700">
                  <w:marLeft w:val="-300"/>
                  <w:marRight w:val="0"/>
                  <w:marTop w:val="60"/>
                  <w:marBottom w:val="0"/>
                  <w:divBdr>
                    <w:top w:val="none" w:sz="0" w:space="0" w:color="auto"/>
                    <w:left w:val="none" w:sz="0" w:space="0" w:color="auto"/>
                    <w:bottom w:val="none" w:sz="0" w:space="0" w:color="auto"/>
                    <w:right w:val="none" w:sz="0" w:space="0" w:color="auto"/>
                  </w:divBdr>
                </w:div>
              </w:divsChild>
            </w:div>
            <w:div w:id="788546563">
              <w:marLeft w:val="0"/>
              <w:marRight w:val="0"/>
              <w:marTop w:val="0"/>
              <w:marBottom w:val="0"/>
              <w:divBdr>
                <w:top w:val="none" w:sz="0" w:space="0" w:color="auto"/>
                <w:left w:val="none" w:sz="0" w:space="0" w:color="auto"/>
                <w:bottom w:val="none" w:sz="0" w:space="0" w:color="auto"/>
                <w:right w:val="none" w:sz="0" w:space="0" w:color="auto"/>
              </w:divBdr>
              <w:divsChild>
                <w:div w:id="1138645121">
                  <w:marLeft w:val="0"/>
                  <w:marRight w:val="0"/>
                  <w:marTop w:val="0"/>
                  <w:marBottom w:val="0"/>
                  <w:divBdr>
                    <w:top w:val="none" w:sz="0" w:space="0" w:color="auto"/>
                    <w:left w:val="none" w:sz="0" w:space="0" w:color="auto"/>
                    <w:bottom w:val="none" w:sz="0" w:space="0" w:color="auto"/>
                    <w:right w:val="none" w:sz="0" w:space="0" w:color="auto"/>
                  </w:divBdr>
                </w:div>
                <w:div w:id="969894540">
                  <w:marLeft w:val="0"/>
                  <w:marRight w:val="0"/>
                  <w:marTop w:val="0"/>
                  <w:marBottom w:val="0"/>
                  <w:divBdr>
                    <w:top w:val="none" w:sz="0" w:space="0" w:color="auto"/>
                    <w:left w:val="none" w:sz="0" w:space="0" w:color="auto"/>
                    <w:bottom w:val="none" w:sz="0" w:space="0" w:color="auto"/>
                    <w:right w:val="none" w:sz="0" w:space="0" w:color="auto"/>
                  </w:divBdr>
                  <w:divsChild>
                    <w:div w:id="20728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3295">
      <w:bodyDiv w:val="1"/>
      <w:marLeft w:val="0"/>
      <w:marRight w:val="0"/>
      <w:marTop w:val="0"/>
      <w:marBottom w:val="0"/>
      <w:divBdr>
        <w:top w:val="none" w:sz="0" w:space="0" w:color="auto"/>
        <w:left w:val="none" w:sz="0" w:space="0" w:color="auto"/>
        <w:bottom w:val="none" w:sz="0" w:space="0" w:color="auto"/>
        <w:right w:val="none" w:sz="0" w:space="0" w:color="auto"/>
      </w:divBdr>
      <w:divsChild>
        <w:div w:id="215237664">
          <w:marLeft w:val="0"/>
          <w:marRight w:val="0"/>
          <w:marTop w:val="240"/>
          <w:marBottom w:val="0"/>
          <w:divBdr>
            <w:top w:val="none" w:sz="0" w:space="0" w:color="auto"/>
            <w:left w:val="none" w:sz="0" w:space="0" w:color="auto"/>
            <w:bottom w:val="none" w:sz="0" w:space="0" w:color="auto"/>
            <w:right w:val="none" w:sz="0" w:space="0" w:color="auto"/>
          </w:divBdr>
        </w:div>
        <w:div w:id="1346323667">
          <w:marLeft w:val="0"/>
          <w:marRight w:val="0"/>
          <w:marTop w:val="0"/>
          <w:marBottom w:val="0"/>
          <w:divBdr>
            <w:top w:val="none" w:sz="0" w:space="0" w:color="auto"/>
            <w:left w:val="none" w:sz="0" w:space="0" w:color="auto"/>
            <w:bottom w:val="none" w:sz="0" w:space="0" w:color="auto"/>
            <w:right w:val="none" w:sz="0" w:space="0" w:color="auto"/>
          </w:divBdr>
          <w:divsChild>
            <w:div w:id="3439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5853">
      <w:bodyDiv w:val="1"/>
      <w:marLeft w:val="0"/>
      <w:marRight w:val="0"/>
      <w:marTop w:val="0"/>
      <w:marBottom w:val="0"/>
      <w:divBdr>
        <w:top w:val="none" w:sz="0" w:space="0" w:color="auto"/>
        <w:left w:val="none" w:sz="0" w:space="0" w:color="auto"/>
        <w:bottom w:val="none" w:sz="0" w:space="0" w:color="auto"/>
        <w:right w:val="none" w:sz="0" w:space="0" w:color="auto"/>
      </w:divBdr>
      <w:divsChild>
        <w:div w:id="870650036">
          <w:marLeft w:val="0"/>
          <w:marRight w:val="0"/>
          <w:marTop w:val="0"/>
          <w:marBottom w:val="0"/>
          <w:divBdr>
            <w:top w:val="none" w:sz="0" w:space="0" w:color="auto"/>
            <w:left w:val="none" w:sz="0" w:space="0" w:color="auto"/>
            <w:bottom w:val="none" w:sz="0" w:space="0" w:color="auto"/>
            <w:right w:val="none" w:sz="0" w:space="0" w:color="auto"/>
          </w:divBdr>
          <w:divsChild>
            <w:div w:id="206530522">
              <w:marLeft w:val="0"/>
              <w:marRight w:val="0"/>
              <w:marTop w:val="0"/>
              <w:marBottom w:val="0"/>
              <w:divBdr>
                <w:top w:val="none" w:sz="0" w:space="0" w:color="auto"/>
                <w:left w:val="none" w:sz="0" w:space="0" w:color="auto"/>
                <w:bottom w:val="none" w:sz="0" w:space="0" w:color="auto"/>
                <w:right w:val="none" w:sz="0" w:space="0" w:color="auto"/>
              </w:divBdr>
              <w:divsChild>
                <w:div w:id="442454866">
                  <w:marLeft w:val="0"/>
                  <w:marRight w:val="0"/>
                  <w:marTop w:val="0"/>
                  <w:marBottom w:val="0"/>
                  <w:divBdr>
                    <w:top w:val="none" w:sz="0" w:space="0" w:color="auto"/>
                    <w:left w:val="none" w:sz="0" w:space="0" w:color="auto"/>
                    <w:bottom w:val="none" w:sz="0" w:space="0" w:color="auto"/>
                    <w:right w:val="none" w:sz="0" w:space="0" w:color="auto"/>
                  </w:divBdr>
                  <w:divsChild>
                    <w:div w:id="13454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8723">
          <w:marLeft w:val="0"/>
          <w:marRight w:val="0"/>
          <w:marTop w:val="0"/>
          <w:marBottom w:val="0"/>
          <w:divBdr>
            <w:top w:val="none" w:sz="0" w:space="0" w:color="auto"/>
            <w:left w:val="none" w:sz="0" w:space="0" w:color="auto"/>
            <w:bottom w:val="none" w:sz="0" w:space="0" w:color="auto"/>
            <w:right w:val="none" w:sz="0" w:space="0" w:color="auto"/>
          </w:divBdr>
        </w:div>
        <w:div w:id="1551726720">
          <w:marLeft w:val="0"/>
          <w:marRight w:val="0"/>
          <w:marTop w:val="0"/>
          <w:marBottom w:val="0"/>
          <w:divBdr>
            <w:top w:val="none" w:sz="0" w:space="0" w:color="auto"/>
            <w:left w:val="none" w:sz="0" w:space="0" w:color="auto"/>
            <w:bottom w:val="none" w:sz="0" w:space="0" w:color="auto"/>
            <w:right w:val="none" w:sz="0" w:space="0" w:color="auto"/>
          </w:divBdr>
          <w:divsChild>
            <w:div w:id="1700469090">
              <w:marLeft w:val="0"/>
              <w:marRight w:val="0"/>
              <w:marTop w:val="0"/>
              <w:marBottom w:val="0"/>
              <w:divBdr>
                <w:top w:val="none" w:sz="0" w:space="0" w:color="auto"/>
                <w:left w:val="none" w:sz="0" w:space="0" w:color="auto"/>
                <w:bottom w:val="none" w:sz="0" w:space="0" w:color="auto"/>
                <w:right w:val="none" w:sz="0" w:space="0" w:color="auto"/>
              </w:divBdr>
              <w:divsChild>
                <w:div w:id="445278184">
                  <w:marLeft w:val="0"/>
                  <w:marRight w:val="0"/>
                  <w:marTop w:val="0"/>
                  <w:marBottom w:val="0"/>
                  <w:divBdr>
                    <w:top w:val="none" w:sz="0" w:space="0" w:color="auto"/>
                    <w:left w:val="none" w:sz="0" w:space="0" w:color="auto"/>
                    <w:bottom w:val="none" w:sz="0" w:space="0" w:color="auto"/>
                    <w:right w:val="none" w:sz="0" w:space="0" w:color="auto"/>
                  </w:divBdr>
                </w:div>
                <w:div w:id="172309050">
                  <w:marLeft w:val="0"/>
                  <w:marRight w:val="0"/>
                  <w:marTop w:val="0"/>
                  <w:marBottom w:val="0"/>
                  <w:divBdr>
                    <w:top w:val="none" w:sz="0" w:space="0" w:color="auto"/>
                    <w:left w:val="none" w:sz="0" w:space="0" w:color="auto"/>
                    <w:bottom w:val="none" w:sz="0" w:space="0" w:color="auto"/>
                    <w:right w:val="none" w:sz="0" w:space="0" w:color="auto"/>
                  </w:divBdr>
                  <w:divsChild>
                    <w:div w:id="16871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8190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Michael Henn</cp:lastModifiedBy>
  <cp:revision>5</cp:revision>
  <dcterms:created xsi:type="dcterms:W3CDTF">2019-12-04T10:29:00Z</dcterms:created>
  <dcterms:modified xsi:type="dcterms:W3CDTF">2020-01-08T14:39:00Z</dcterms:modified>
</cp:coreProperties>
</file>