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DC" w:rsidRPr="007948DC" w:rsidRDefault="007948DC" w:rsidP="007948DC">
      <w:pPr>
        <w:tabs>
          <w:tab w:val="center" w:pos="4536"/>
          <w:tab w:val="right" w:pos="9072"/>
        </w:tabs>
        <w:spacing w:after="0"/>
        <w:jc w:val="right"/>
        <w:rPr>
          <w:rFonts w:ascii="Calibri" w:hAnsi="Calibri"/>
        </w:rPr>
      </w:pPr>
      <w:bookmarkStart w:id="0" w:name="_GoBack"/>
      <w:bookmarkEnd w:id="0"/>
      <w:r w:rsidRPr="007948DC">
        <w:rPr>
          <w:rFonts w:cs="Arial"/>
          <w:b/>
          <w:bCs/>
          <w:sz w:val="40"/>
          <w:szCs w:val="40"/>
        </w:rPr>
        <w:t>DASV</w:t>
      </w:r>
    </w:p>
    <w:p w:rsidR="007948DC" w:rsidRPr="007948DC" w:rsidRDefault="007948DC" w:rsidP="007948DC">
      <w:pPr>
        <w:spacing w:after="0"/>
        <w:jc w:val="right"/>
        <w:rPr>
          <w:rFonts w:cs="Arial"/>
          <w:sz w:val="20"/>
          <w:szCs w:val="20"/>
        </w:rPr>
      </w:pPr>
      <w:bookmarkStart w:id="1" w:name="2"/>
      <w:bookmarkStart w:id="2" w:name="9"/>
      <w:bookmarkEnd w:id="1"/>
      <w:bookmarkEnd w:id="2"/>
      <w:r w:rsidRPr="007948DC">
        <w:rPr>
          <w:rFonts w:cs="Arial"/>
          <w:sz w:val="20"/>
          <w:szCs w:val="20"/>
        </w:rPr>
        <w:t>Deutsche Anwalts- und</w:t>
      </w:r>
    </w:p>
    <w:p w:rsidR="007948DC" w:rsidRPr="007948DC" w:rsidRDefault="007948DC" w:rsidP="007948DC">
      <w:pPr>
        <w:spacing w:after="0"/>
        <w:jc w:val="right"/>
        <w:rPr>
          <w:rFonts w:cs="Arial"/>
          <w:sz w:val="20"/>
          <w:szCs w:val="20"/>
        </w:rPr>
      </w:pPr>
      <w:r w:rsidRPr="007948DC">
        <w:rPr>
          <w:rFonts w:cs="Arial"/>
          <w:sz w:val="20"/>
          <w:szCs w:val="20"/>
        </w:rPr>
        <w:t>Steuerberatervereinigung</w:t>
      </w:r>
    </w:p>
    <w:p w:rsidR="007948DC" w:rsidRPr="007948DC" w:rsidRDefault="007948DC" w:rsidP="007948DC">
      <w:pPr>
        <w:spacing w:after="0"/>
        <w:jc w:val="right"/>
        <w:rPr>
          <w:rFonts w:cs="Arial"/>
          <w:sz w:val="20"/>
          <w:szCs w:val="20"/>
        </w:rPr>
      </w:pPr>
      <w:r w:rsidRPr="007948DC">
        <w:rPr>
          <w:rFonts w:cs="Arial"/>
          <w:sz w:val="20"/>
          <w:szCs w:val="20"/>
        </w:rPr>
        <w:t>für die mittelständische</w:t>
      </w:r>
    </w:p>
    <w:p w:rsidR="007948DC" w:rsidRPr="007948DC" w:rsidRDefault="007948DC" w:rsidP="007948DC">
      <w:pPr>
        <w:spacing w:after="0"/>
        <w:jc w:val="right"/>
        <w:rPr>
          <w:rFonts w:cs="Arial"/>
        </w:rPr>
      </w:pPr>
      <w:r w:rsidRPr="007948DC">
        <w:rPr>
          <w:rFonts w:cs="Arial"/>
          <w:sz w:val="20"/>
          <w:szCs w:val="20"/>
        </w:rPr>
        <w:tab/>
        <w:t>Wirtschaft e. V.</w:t>
      </w:r>
    </w:p>
    <w:p w:rsidR="007948DC" w:rsidRDefault="007948DC" w:rsidP="007948DC">
      <w:pPr>
        <w:spacing w:after="0" w:line="240" w:lineRule="auto"/>
        <w:jc w:val="center"/>
        <w:rPr>
          <w:rFonts w:cs="Arial"/>
          <w:b/>
          <w:bCs/>
          <w:sz w:val="20"/>
          <w:szCs w:val="20"/>
          <w:lang w:eastAsia="de-DE"/>
        </w:rPr>
      </w:pPr>
    </w:p>
    <w:p w:rsidR="00611AD8" w:rsidRPr="007948DC" w:rsidRDefault="00611AD8" w:rsidP="007948DC">
      <w:pPr>
        <w:spacing w:after="0" w:line="240" w:lineRule="auto"/>
        <w:jc w:val="center"/>
        <w:rPr>
          <w:rFonts w:cs="Arial"/>
          <w:b/>
          <w:bCs/>
          <w:sz w:val="20"/>
          <w:szCs w:val="20"/>
          <w:lang w:eastAsia="de-DE"/>
        </w:rPr>
      </w:pPr>
    </w:p>
    <w:p w:rsidR="007948DC" w:rsidRPr="007948DC" w:rsidRDefault="007948DC" w:rsidP="007948DC">
      <w:pPr>
        <w:spacing w:after="0" w:line="240" w:lineRule="auto"/>
        <w:jc w:val="center"/>
        <w:rPr>
          <w:rFonts w:cs="Arial"/>
          <w:b/>
          <w:bCs/>
          <w:sz w:val="20"/>
          <w:szCs w:val="20"/>
          <w:lang w:eastAsia="de-DE"/>
        </w:rPr>
      </w:pPr>
      <w:r w:rsidRPr="007948DC">
        <w:rPr>
          <w:rFonts w:cs="Arial"/>
          <w:b/>
          <w:bCs/>
          <w:sz w:val="20"/>
          <w:szCs w:val="20"/>
          <w:lang w:eastAsia="de-DE"/>
        </w:rPr>
        <w:t>10 Urteile, die Ihre Leser interessieren könnten</w:t>
      </w:r>
    </w:p>
    <w:p w:rsidR="007948DC" w:rsidRPr="007948DC" w:rsidRDefault="007948DC" w:rsidP="007948DC">
      <w:pPr>
        <w:spacing w:after="0" w:line="240" w:lineRule="auto"/>
        <w:jc w:val="center"/>
        <w:rPr>
          <w:rFonts w:cs="Arial"/>
          <w:b/>
          <w:bCs/>
          <w:sz w:val="20"/>
          <w:szCs w:val="20"/>
          <w:lang w:eastAsia="de-DE"/>
        </w:rPr>
      </w:pPr>
    </w:p>
    <w:p w:rsidR="007948DC" w:rsidRPr="007948DC" w:rsidRDefault="007948DC" w:rsidP="007948DC">
      <w:pPr>
        <w:spacing w:after="0" w:line="240" w:lineRule="auto"/>
        <w:jc w:val="center"/>
        <w:rPr>
          <w:rFonts w:cs="Arial"/>
          <w:sz w:val="20"/>
          <w:szCs w:val="20"/>
          <w:lang w:eastAsia="de-DE"/>
        </w:rPr>
      </w:pPr>
      <w:r w:rsidRPr="007948DC">
        <w:rPr>
          <w:rFonts w:cs="Arial"/>
          <w:sz w:val="20"/>
          <w:szCs w:val="20"/>
          <w:lang w:eastAsia="de-DE"/>
        </w:rPr>
        <w:t>zusammengestellt von Rechtsanwalt/Fachanwalt für Arbeitsrecht u. Fachanwalt für Erbrecht</w:t>
      </w:r>
    </w:p>
    <w:p w:rsidR="007948DC" w:rsidRPr="007948DC" w:rsidRDefault="007948DC" w:rsidP="007948DC">
      <w:pPr>
        <w:spacing w:before="60" w:after="15"/>
        <w:ind w:right="540"/>
        <w:jc w:val="center"/>
        <w:rPr>
          <w:rFonts w:cs="Arial"/>
          <w:bCs/>
          <w:sz w:val="20"/>
          <w:szCs w:val="20"/>
        </w:rPr>
      </w:pPr>
      <w:r w:rsidRPr="007948DC">
        <w:rPr>
          <w:rFonts w:cs="Arial"/>
          <w:bCs/>
          <w:sz w:val="20"/>
          <w:szCs w:val="20"/>
        </w:rPr>
        <w:t>Michael Henn, Stuttgart</w:t>
      </w:r>
    </w:p>
    <w:p w:rsidR="007948DC" w:rsidRDefault="007948DC" w:rsidP="008E3D44">
      <w:pPr>
        <w:spacing w:after="150" w:line="240" w:lineRule="auto"/>
        <w:outlineLvl w:val="3"/>
        <w:rPr>
          <w:rFonts w:cs="Arial"/>
          <w:sz w:val="20"/>
          <w:szCs w:val="20"/>
          <w:lang w:eastAsia="de-DE"/>
        </w:rPr>
      </w:pPr>
    </w:p>
    <w:p w:rsidR="00611AD8" w:rsidRPr="007948DC" w:rsidRDefault="00611AD8" w:rsidP="008E3D44">
      <w:pPr>
        <w:spacing w:after="150" w:line="240" w:lineRule="auto"/>
        <w:outlineLvl w:val="3"/>
        <w:rPr>
          <w:rFonts w:cs="Arial"/>
          <w:sz w:val="20"/>
          <w:szCs w:val="20"/>
          <w:lang w:eastAsia="de-DE"/>
        </w:rPr>
      </w:pPr>
    </w:p>
    <w:p w:rsidR="007948DC" w:rsidRPr="007948DC" w:rsidRDefault="007948DC" w:rsidP="007948DC">
      <w:pPr>
        <w:spacing w:after="0" w:line="240" w:lineRule="auto"/>
        <w:jc w:val="center"/>
        <w:outlineLvl w:val="3"/>
        <w:rPr>
          <w:rFonts w:cs="Arial"/>
          <w:b/>
          <w:sz w:val="20"/>
          <w:szCs w:val="20"/>
          <w:lang w:eastAsia="de-DE"/>
        </w:rPr>
      </w:pPr>
      <w:r w:rsidRPr="007948DC">
        <w:rPr>
          <w:rFonts w:cs="Arial"/>
          <w:b/>
          <w:sz w:val="20"/>
          <w:szCs w:val="20"/>
          <w:lang w:eastAsia="de-DE"/>
        </w:rPr>
        <w:t>I.</w:t>
      </w:r>
    </w:p>
    <w:p w:rsidR="007948DC" w:rsidRDefault="007948DC" w:rsidP="007948DC">
      <w:pPr>
        <w:spacing w:after="0" w:line="240" w:lineRule="auto"/>
        <w:jc w:val="center"/>
        <w:outlineLvl w:val="3"/>
        <w:rPr>
          <w:rFonts w:cs="Arial"/>
          <w:b/>
          <w:sz w:val="20"/>
          <w:szCs w:val="20"/>
        </w:rPr>
      </w:pPr>
      <w:r w:rsidRPr="007948DC">
        <w:rPr>
          <w:rFonts w:cs="Arial"/>
          <w:b/>
          <w:sz w:val="20"/>
          <w:szCs w:val="20"/>
        </w:rPr>
        <w:t>Verjährung des Anspruchs</w:t>
      </w:r>
    </w:p>
    <w:p w:rsidR="007948DC" w:rsidRDefault="007948DC" w:rsidP="007948DC">
      <w:pPr>
        <w:spacing w:after="0" w:line="240" w:lineRule="auto"/>
        <w:jc w:val="center"/>
        <w:outlineLvl w:val="3"/>
        <w:rPr>
          <w:rFonts w:cs="Arial"/>
          <w:sz w:val="20"/>
          <w:szCs w:val="20"/>
          <w:lang w:eastAsia="de-DE"/>
        </w:rPr>
      </w:pPr>
      <w:r w:rsidRPr="007948DC">
        <w:rPr>
          <w:rFonts w:cs="Arial"/>
          <w:sz w:val="20"/>
          <w:szCs w:val="20"/>
        </w:rPr>
        <w:t xml:space="preserve">BGH, Urteil vom </w:t>
      </w:r>
      <w:r>
        <w:rPr>
          <w:rFonts w:cs="Arial"/>
          <w:sz w:val="20"/>
          <w:szCs w:val="20"/>
          <w:lang w:eastAsia="de-DE"/>
        </w:rPr>
        <w:t>25. Juli 2017, Az.</w:t>
      </w:r>
      <w:r w:rsidRPr="007948DC">
        <w:rPr>
          <w:rFonts w:cs="Arial"/>
          <w:sz w:val="20"/>
          <w:szCs w:val="20"/>
          <w:lang w:eastAsia="de-DE"/>
        </w:rPr>
        <w:t xml:space="preserve"> VI ZR 222/16</w:t>
      </w:r>
    </w:p>
    <w:p w:rsidR="007948DC" w:rsidRPr="007948DC" w:rsidRDefault="007948DC" w:rsidP="007948DC">
      <w:pPr>
        <w:spacing w:after="0" w:line="240" w:lineRule="auto"/>
        <w:jc w:val="center"/>
        <w:outlineLvl w:val="3"/>
        <w:rPr>
          <w:rFonts w:cs="Arial"/>
          <w:sz w:val="20"/>
          <w:szCs w:val="20"/>
          <w:lang w:eastAsia="de-DE"/>
        </w:rPr>
      </w:pPr>
    </w:p>
    <w:p w:rsidR="008E3D44" w:rsidRPr="008E3D44" w:rsidRDefault="008E3D44" w:rsidP="007948DC">
      <w:pPr>
        <w:spacing w:after="0" w:line="240" w:lineRule="auto"/>
        <w:jc w:val="both"/>
        <w:rPr>
          <w:rFonts w:cs="Arial"/>
          <w:sz w:val="20"/>
          <w:szCs w:val="20"/>
          <w:lang w:eastAsia="de-DE"/>
        </w:rPr>
      </w:pPr>
      <w:r w:rsidRPr="008E3D44">
        <w:rPr>
          <w:rFonts w:cs="Arial"/>
          <w:sz w:val="20"/>
          <w:szCs w:val="20"/>
          <w:lang w:eastAsia="de-DE"/>
        </w:rPr>
        <w:t xml:space="preserve">Der Auskunftsanspruch aus </w:t>
      </w:r>
      <w:hyperlink r:id="rId7" w:anchor="focuspoint" w:history="1">
        <w:r w:rsidRPr="007948DC">
          <w:rPr>
            <w:rFonts w:cs="Arial"/>
            <w:sz w:val="20"/>
            <w:szCs w:val="20"/>
            <w:lang w:eastAsia="de-DE"/>
          </w:rPr>
          <w:t>§ 242 BGB</w:t>
        </w:r>
      </w:hyperlink>
      <w:r w:rsidRPr="008E3D44">
        <w:rPr>
          <w:rFonts w:cs="Arial"/>
          <w:sz w:val="20"/>
          <w:szCs w:val="20"/>
          <w:lang w:eastAsia="de-DE"/>
        </w:rPr>
        <w:t xml:space="preserve"> kann grundsätzlich nicht vor dem Hauptanspruch, dem er dient, verjähren.</w:t>
      </w:r>
    </w:p>
    <w:p w:rsidR="008E3D44" w:rsidRPr="008E3D44" w:rsidRDefault="008E3D44" w:rsidP="008E3D44">
      <w:pPr>
        <w:spacing w:after="0" w:line="240" w:lineRule="auto"/>
        <w:rPr>
          <w:rFonts w:cs="Arial"/>
          <w:sz w:val="20"/>
          <w:szCs w:val="20"/>
          <w:lang w:eastAsia="de-DE"/>
        </w:rPr>
      </w:pPr>
    </w:p>
    <w:p w:rsidR="008E3D44" w:rsidRDefault="007948DC" w:rsidP="007948DC">
      <w:pPr>
        <w:spacing w:after="0" w:line="240" w:lineRule="auto"/>
        <w:jc w:val="center"/>
        <w:rPr>
          <w:rFonts w:cs="Arial"/>
          <w:b/>
          <w:sz w:val="20"/>
          <w:szCs w:val="20"/>
          <w:lang w:eastAsia="de-DE"/>
        </w:rPr>
      </w:pPr>
      <w:r w:rsidRPr="007948DC">
        <w:rPr>
          <w:rFonts w:cs="Arial"/>
          <w:b/>
          <w:sz w:val="20"/>
          <w:szCs w:val="20"/>
          <w:lang w:eastAsia="de-DE"/>
        </w:rPr>
        <w:t>II.</w:t>
      </w:r>
    </w:p>
    <w:p w:rsidR="00355E30" w:rsidRPr="007948DC" w:rsidRDefault="00355E30" w:rsidP="007948DC">
      <w:pPr>
        <w:spacing w:after="0" w:line="240" w:lineRule="auto"/>
        <w:jc w:val="center"/>
        <w:rPr>
          <w:rFonts w:cs="Arial"/>
          <w:b/>
          <w:sz w:val="20"/>
          <w:szCs w:val="20"/>
          <w:lang w:eastAsia="de-DE"/>
        </w:rPr>
      </w:pPr>
      <w:r w:rsidRPr="00355E30">
        <w:rPr>
          <w:rFonts w:cs="Arial"/>
          <w:b/>
          <w:sz w:val="20"/>
          <w:szCs w:val="20"/>
          <w:lang w:eastAsia="de-DE"/>
        </w:rPr>
        <w:t>Kündigung einer Wohngebäudeversicherung</w:t>
      </w:r>
    </w:p>
    <w:p w:rsidR="007948DC" w:rsidRDefault="007948DC" w:rsidP="007948DC">
      <w:pPr>
        <w:spacing w:after="0" w:line="240" w:lineRule="auto"/>
        <w:jc w:val="center"/>
        <w:rPr>
          <w:rFonts w:cs="Arial"/>
          <w:sz w:val="20"/>
          <w:szCs w:val="20"/>
          <w:lang w:eastAsia="de-DE"/>
        </w:rPr>
      </w:pPr>
      <w:r w:rsidRPr="008E3D44">
        <w:rPr>
          <w:rFonts w:cs="Arial"/>
          <w:sz w:val="20"/>
          <w:szCs w:val="20"/>
          <w:lang w:eastAsia="de-DE"/>
        </w:rPr>
        <w:t>AG Bremen, Urteil vom 10. August 2017</w:t>
      </w:r>
      <w:r>
        <w:rPr>
          <w:rFonts w:cs="Arial"/>
          <w:sz w:val="20"/>
          <w:szCs w:val="20"/>
          <w:lang w:eastAsia="de-DE"/>
        </w:rPr>
        <w:t>, Az.</w:t>
      </w:r>
      <w:r w:rsidRPr="008E3D44">
        <w:rPr>
          <w:rFonts w:cs="Arial"/>
          <w:sz w:val="20"/>
          <w:szCs w:val="20"/>
          <w:lang w:eastAsia="de-DE"/>
        </w:rPr>
        <w:t xml:space="preserve"> 9 C 82/17</w:t>
      </w:r>
    </w:p>
    <w:p w:rsidR="007948DC" w:rsidRDefault="007948DC" w:rsidP="007948DC">
      <w:pPr>
        <w:spacing w:after="0" w:line="240" w:lineRule="auto"/>
        <w:rPr>
          <w:rFonts w:cs="Arial"/>
          <w:sz w:val="20"/>
          <w:szCs w:val="20"/>
          <w:lang w:eastAsia="de-DE"/>
        </w:rPr>
      </w:pPr>
    </w:p>
    <w:p w:rsidR="007948DC" w:rsidRDefault="007948DC" w:rsidP="007948DC">
      <w:pPr>
        <w:spacing w:after="0" w:line="240" w:lineRule="auto"/>
        <w:jc w:val="both"/>
        <w:rPr>
          <w:rFonts w:cs="Arial"/>
          <w:sz w:val="20"/>
          <w:szCs w:val="20"/>
          <w:lang w:eastAsia="de-DE"/>
        </w:rPr>
      </w:pPr>
      <w:r w:rsidRPr="008E3D44">
        <w:rPr>
          <w:rFonts w:cs="Arial"/>
          <w:sz w:val="20"/>
          <w:szCs w:val="20"/>
          <w:lang w:eastAsia="de-DE"/>
        </w:rPr>
        <w:t xml:space="preserve">1. Die Kündigung einer Wohngebäudeversicherung ist unwirksam, wenn eine Zustimmungserklärung des Hypothekengläubigers innerhalb der Frist nach </w:t>
      </w:r>
      <w:hyperlink r:id="rId8" w:anchor="focuspoint" w:history="1">
        <w:r w:rsidRPr="007948DC">
          <w:rPr>
            <w:rFonts w:cs="Arial"/>
            <w:sz w:val="20"/>
            <w:szCs w:val="20"/>
            <w:lang w:eastAsia="de-DE"/>
          </w:rPr>
          <w:t>§ 144 VVG</w:t>
        </w:r>
      </w:hyperlink>
      <w:r w:rsidRPr="007948DC">
        <w:rPr>
          <w:rFonts w:cs="Arial"/>
          <w:sz w:val="20"/>
          <w:szCs w:val="20"/>
          <w:lang w:eastAsia="de-DE"/>
        </w:rPr>
        <w:t xml:space="preserve"> </w:t>
      </w:r>
      <w:r w:rsidRPr="008E3D44">
        <w:rPr>
          <w:rFonts w:cs="Arial"/>
          <w:sz w:val="20"/>
          <w:szCs w:val="20"/>
          <w:lang w:eastAsia="de-DE"/>
        </w:rPr>
        <w:t>nicht beigefügt oder nachgereicht wird.</w:t>
      </w:r>
    </w:p>
    <w:p w:rsidR="007948DC" w:rsidRPr="008E3D44" w:rsidRDefault="007948DC" w:rsidP="007948DC">
      <w:pPr>
        <w:spacing w:after="0" w:line="240" w:lineRule="auto"/>
        <w:jc w:val="both"/>
        <w:rPr>
          <w:rFonts w:cs="Arial"/>
          <w:sz w:val="20"/>
          <w:szCs w:val="20"/>
          <w:lang w:eastAsia="de-DE"/>
        </w:rPr>
      </w:pPr>
      <w:r w:rsidRPr="008E3D44">
        <w:rPr>
          <w:rFonts w:cs="Arial"/>
          <w:sz w:val="20"/>
          <w:szCs w:val="20"/>
          <w:lang w:eastAsia="de-DE"/>
        </w:rPr>
        <w:t xml:space="preserve">2. Nur in Ausnahmefällen obliegt der Versicherung ein Hinweis auf die Rechtslage. Ein Verstoß gegen </w:t>
      </w:r>
      <w:hyperlink r:id="rId9" w:anchor="focuspoint" w:history="1">
        <w:r w:rsidRPr="007948DC">
          <w:rPr>
            <w:rFonts w:cs="Arial"/>
            <w:sz w:val="20"/>
            <w:szCs w:val="20"/>
            <w:lang w:eastAsia="de-DE"/>
          </w:rPr>
          <w:t>§ 242 BGB</w:t>
        </w:r>
      </w:hyperlink>
      <w:r w:rsidRPr="007948DC">
        <w:rPr>
          <w:rFonts w:cs="Arial"/>
          <w:sz w:val="20"/>
          <w:szCs w:val="20"/>
          <w:lang w:eastAsia="de-DE"/>
        </w:rPr>
        <w:t xml:space="preserve"> </w:t>
      </w:r>
      <w:r w:rsidRPr="008E3D44">
        <w:rPr>
          <w:rFonts w:cs="Arial"/>
          <w:sz w:val="20"/>
          <w:szCs w:val="20"/>
          <w:lang w:eastAsia="de-DE"/>
        </w:rPr>
        <w:t>macht die Kündigung nicht wirksam, sondern begründet allenfalls aufrechenbare Schadensersatzansprüche des Versicherungsnehmers.</w:t>
      </w:r>
    </w:p>
    <w:p w:rsidR="007948DC" w:rsidRDefault="007948DC" w:rsidP="007948DC">
      <w:pPr>
        <w:spacing w:after="0" w:line="240" w:lineRule="auto"/>
        <w:rPr>
          <w:rFonts w:cs="Arial"/>
          <w:sz w:val="20"/>
          <w:szCs w:val="20"/>
          <w:lang w:eastAsia="de-DE"/>
        </w:rPr>
      </w:pPr>
    </w:p>
    <w:p w:rsidR="007948DC" w:rsidRPr="00B83844" w:rsidRDefault="00B83844" w:rsidP="00B83844">
      <w:pPr>
        <w:spacing w:after="0" w:line="240" w:lineRule="auto"/>
        <w:jc w:val="center"/>
        <w:rPr>
          <w:rFonts w:cs="Arial"/>
          <w:b/>
          <w:sz w:val="20"/>
          <w:szCs w:val="20"/>
          <w:lang w:eastAsia="de-DE"/>
        </w:rPr>
      </w:pPr>
      <w:r w:rsidRPr="00B83844">
        <w:rPr>
          <w:rFonts w:cs="Arial"/>
          <w:b/>
          <w:sz w:val="20"/>
          <w:szCs w:val="20"/>
          <w:lang w:eastAsia="de-DE"/>
        </w:rPr>
        <w:t>III.</w:t>
      </w:r>
    </w:p>
    <w:p w:rsidR="001A4569" w:rsidRPr="00B83844" w:rsidRDefault="001A4569" w:rsidP="00B83844">
      <w:pPr>
        <w:pStyle w:val="berschrift3"/>
        <w:spacing w:after="0" w:line="240" w:lineRule="auto"/>
        <w:jc w:val="center"/>
        <w:rPr>
          <w:rFonts w:ascii="Arial" w:hAnsi="Arial" w:cs="Arial"/>
          <w:sz w:val="20"/>
          <w:szCs w:val="20"/>
        </w:rPr>
      </w:pPr>
      <w:r w:rsidRPr="00B83844">
        <w:rPr>
          <w:rFonts w:ascii="Arial" w:hAnsi="Arial" w:cs="Arial"/>
          <w:sz w:val="20"/>
          <w:szCs w:val="20"/>
        </w:rPr>
        <w:t>Unwirksame Vertragsstrafenvereinbarung in Gutscheinblock</w:t>
      </w:r>
    </w:p>
    <w:p w:rsidR="001A4569" w:rsidRDefault="00B83844" w:rsidP="00B83844">
      <w:pPr>
        <w:pStyle w:val="berschrift4"/>
        <w:spacing w:after="0"/>
        <w:jc w:val="center"/>
        <w:rPr>
          <w:rFonts w:ascii="Arial" w:hAnsi="Arial" w:cs="Arial"/>
          <w:color w:val="auto"/>
          <w:sz w:val="20"/>
          <w:szCs w:val="20"/>
        </w:rPr>
      </w:pPr>
      <w:r w:rsidRPr="00B83844">
        <w:rPr>
          <w:rFonts w:ascii="Arial" w:hAnsi="Arial" w:cs="Arial"/>
          <w:color w:val="auto"/>
          <w:sz w:val="20"/>
          <w:szCs w:val="20"/>
        </w:rPr>
        <w:t xml:space="preserve">BGH, </w:t>
      </w:r>
      <w:r w:rsidR="001A4569" w:rsidRPr="00B83844">
        <w:rPr>
          <w:rFonts w:ascii="Arial" w:hAnsi="Arial" w:cs="Arial"/>
          <w:color w:val="auto"/>
          <w:sz w:val="20"/>
          <w:szCs w:val="20"/>
        </w:rPr>
        <w:t>Urteil vom 31.08.2017, Az: VII ZR 308/16</w:t>
      </w:r>
    </w:p>
    <w:p w:rsidR="00B83844" w:rsidRPr="00B83844" w:rsidRDefault="00B83844" w:rsidP="00B83844">
      <w:pPr>
        <w:pStyle w:val="berschrift4"/>
        <w:spacing w:after="0"/>
        <w:jc w:val="center"/>
        <w:rPr>
          <w:rFonts w:ascii="Arial" w:hAnsi="Arial" w:cs="Arial"/>
          <w:color w:val="auto"/>
          <w:sz w:val="20"/>
          <w:szCs w:val="20"/>
        </w:rPr>
      </w:pPr>
    </w:p>
    <w:p w:rsidR="001A4569" w:rsidRPr="00B83844" w:rsidRDefault="001A4569" w:rsidP="00B83844">
      <w:pPr>
        <w:spacing w:after="0" w:line="240" w:lineRule="auto"/>
        <w:jc w:val="both"/>
        <w:rPr>
          <w:rFonts w:cs="Arial"/>
          <w:sz w:val="20"/>
          <w:szCs w:val="20"/>
        </w:rPr>
      </w:pPr>
      <w:r w:rsidRPr="00B83844">
        <w:rPr>
          <w:rFonts w:cs="Arial"/>
          <w:sz w:val="20"/>
          <w:szCs w:val="20"/>
        </w:rPr>
        <w:t>Eine Vertragsstrafenvereinbarung in Allgemeinen Geschäftsbedingungen des Herausgebers eines Gutscheinblocks (hier: "Schlemmerblock"), die für schuldhaft vorsätzliche Vertragsverstöße von unterschiedlichem Gewicht einen pauschalen Betrag von 2.500 € vorsieht, ist unwirksam, weil sie angesichts des typischerweise geringsten Vertragsverstoßes unverhältnismäßig hoch ist und den Vertragspartner entgegen Treu und Glauben unangemessen benachteiligt (Fortführung von BGH, Urteil vom 20. Januar 2016 - VIII ZR 26/15 , NJW 2016, 1230).</w:t>
      </w:r>
    </w:p>
    <w:p w:rsidR="001A4569" w:rsidRDefault="001A4569" w:rsidP="001A4569">
      <w:pPr>
        <w:spacing w:after="0" w:line="240" w:lineRule="auto"/>
        <w:rPr>
          <w:rFonts w:cs="Arial"/>
          <w:sz w:val="21"/>
          <w:szCs w:val="21"/>
        </w:rPr>
      </w:pPr>
    </w:p>
    <w:p w:rsidR="001A4569" w:rsidRPr="00B83844" w:rsidRDefault="00B83844" w:rsidP="00B83844">
      <w:pPr>
        <w:spacing w:after="0" w:line="240" w:lineRule="auto"/>
        <w:jc w:val="center"/>
        <w:rPr>
          <w:rFonts w:cs="Arial"/>
          <w:b/>
          <w:sz w:val="20"/>
          <w:szCs w:val="20"/>
        </w:rPr>
      </w:pPr>
      <w:r w:rsidRPr="00B83844">
        <w:rPr>
          <w:rFonts w:cs="Arial"/>
          <w:b/>
          <w:sz w:val="20"/>
          <w:szCs w:val="20"/>
        </w:rPr>
        <w:t>IV.</w:t>
      </w:r>
    </w:p>
    <w:p w:rsidR="001A4569" w:rsidRPr="00B83844" w:rsidRDefault="001A4569" w:rsidP="00B83844">
      <w:pPr>
        <w:pStyle w:val="berschrift3"/>
        <w:spacing w:after="0" w:line="240" w:lineRule="auto"/>
        <w:jc w:val="center"/>
        <w:rPr>
          <w:rFonts w:ascii="Arial" w:hAnsi="Arial" w:cs="Arial"/>
          <w:sz w:val="20"/>
          <w:szCs w:val="20"/>
        </w:rPr>
      </w:pPr>
      <w:r w:rsidRPr="00B83844">
        <w:rPr>
          <w:rFonts w:ascii="Arial" w:hAnsi="Arial" w:cs="Arial"/>
          <w:sz w:val="20"/>
          <w:szCs w:val="20"/>
        </w:rPr>
        <w:t>Lärmprotokoll bei (Kinder-)Lärm im Mehrfamilienhaus</w:t>
      </w:r>
    </w:p>
    <w:p w:rsidR="001A4569" w:rsidRPr="00B83844" w:rsidRDefault="00B83844" w:rsidP="00B83844">
      <w:pPr>
        <w:pStyle w:val="berschrift4"/>
        <w:spacing w:after="0"/>
        <w:jc w:val="center"/>
        <w:rPr>
          <w:rFonts w:ascii="Arial" w:hAnsi="Arial" w:cs="Arial"/>
          <w:color w:val="auto"/>
          <w:sz w:val="20"/>
          <w:szCs w:val="20"/>
        </w:rPr>
      </w:pPr>
      <w:r w:rsidRPr="00B83844">
        <w:rPr>
          <w:rFonts w:ascii="Arial" w:hAnsi="Arial" w:cs="Arial"/>
          <w:color w:val="auto"/>
          <w:sz w:val="20"/>
          <w:szCs w:val="20"/>
        </w:rPr>
        <w:t xml:space="preserve">BGH, </w:t>
      </w:r>
      <w:r w:rsidR="001A4569" w:rsidRPr="00B83844">
        <w:rPr>
          <w:rFonts w:ascii="Arial" w:hAnsi="Arial" w:cs="Arial"/>
          <w:color w:val="auto"/>
          <w:sz w:val="20"/>
          <w:szCs w:val="20"/>
        </w:rPr>
        <w:t>Beschluss vom 22.08.2017, Az: VIII ZR 226/16</w:t>
      </w:r>
    </w:p>
    <w:p w:rsidR="00B83844" w:rsidRPr="00B83844" w:rsidRDefault="00B83844" w:rsidP="00B83844">
      <w:pPr>
        <w:pStyle w:val="berschrift4"/>
        <w:spacing w:after="0"/>
        <w:jc w:val="both"/>
        <w:rPr>
          <w:rFonts w:ascii="Arial" w:hAnsi="Arial" w:cs="Arial"/>
          <w:color w:val="auto"/>
          <w:sz w:val="20"/>
          <w:szCs w:val="20"/>
        </w:rPr>
      </w:pPr>
    </w:p>
    <w:p w:rsidR="00B83844" w:rsidRPr="00B83844" w:rsidRDefault="001A4569" w:rsidP="00B83844">
      <w:pPr>
        <w:spacing w:after="0" w:line="240" w:lineRule="auto"/>
        <w:jc w:val="both"/>
        <w:rPr>
          <w:rFonts w:cs="Arial"/>
          <w:sz w:val="20"/>
          <w:szCs w:val="20"/>
        </w:rPr>
      </w:pPr>
      <w:r w:rsidRPr="00B83844">
        <w:rPr>
          <w:rFonts w:cs="Arial"/>
          <w:sz w:val="20"/>
          <w:szCs w:val="20"/>
        </w:rPr>
        <w:t>a) Zur Rücksichtnahmepflicht unter Mietern bei (Kinder-)Lärm aus der Nachbarwohnung eines Mehrfamilienhauses.</w:t>
      </w:r>
    </w:p>
    <w:p w:rsidR="001A4569" w:rsidRPr="00B83844" w:rsidRDefault="001A4569" w:rsidP="00B83844">
      <w:pPr>
        <w:spacing w:after="0" w:line="240" w:lineRule="auto"/>
        <w:jc w:val="both"/>
        <w:rPr>
          <w:rFonts w:cs="Arial"/>
          <w:sz w:val="20"/>
          <w:szCs w:val="20"/>
        </w:rPr>
      </w:pPr>
      <w:r w:rsidRPr="00B83844">
        <w:rPr>
          <w:rFonts w:cs="Arial"/>
          <w:sz w:val="20"/>
          <w:szCs w:val="20"/>
        </w:rPr>
        <w:t>b) Bei wiederkehrenden Beeinträchtigungen durch Lärm bedarf es nicht der Vorlage eines detaillierten Protokolls. Es genügt vielmehr grundsätzlich eine Beschreibung, aus der sich ergibt, um welche Art von Beeinträchtigungen es geht und zu welchen Tageszeiten, über welche Zeitdauer und in welcher Frequenz diese ungefähr auftreten</w:t>
      </w:r>
    </w:p>
    <w:p w:rsidR="001A4569" w:rsidRPr="00B83844" w:rsidRDefault="001A4569" w:rsidP="00B83844">
      <w:pPr>
        <w:spacing w:after="0" w:line="240" w:lineRule="auto"/>
        <w:rPr>
          <w:rFonts w:cs="Arial"/>
          <w:sz w:val="20"/>
          <w:szCs w:val="20"/>
        </w:rPr>
      </w:pPr>
    </w:p>
    <w:p w:rsidR="00681778" w:rsidRDefault="00B83844" w:rsidP="007F7299">
      <w:pPr>
        <w:spacing w:after="0" w:line="240" w:lineRule="auto"/>
        <w:jc w:val="center"/>
        <w:rPr>
          <w:b/>
          <w:sz w:val="20"/>
          <w:szCs w:val="20"/>
        </w:rPr>
      </w:pPr>
      <w:r w:rsidRPr="007F7299">
        <w:rPr>
          <w:b/>
          <w:sz w:val="20"/>
          <w:szCs w:val="20"/>
        </w:rPr>
        <w:t>V.</w:t>
      </w:r>
    </w:p>
    <w:p w:rsidR="00B44690" w:rsidRPr="00B44690" w:rsidRDefault="00B44690" w:rsidP="007F7299">
      <w:pPr>
        <w:spacing w:after="0" w:line="240" w:lineRule="auto"/>
        <w:jc w:val="center"/>
        <w:rPr>
          <w:b/>
          <w:sz w:val="20"/>
          <w:szCs w:val="20"/>
        </w:rPr>
      </w:pPr>
      <w:r w:rsidRPr="00B44690">
        <w:rPr>
          <w:rFonts w:cs="Arial"/>
          <w:b/>
          <w:sz w:val="20"/>
          <w:szCs w:val="20"/>
          <w:lang w:eastAsia="de-DE"/>
        </w:rPr>
        <w:t>Auslandsdienstreisen kraft Direktionsrecht</w:t>
      </w:r>
    </w:p>
    <w:p w:rsidR="00784651" w:rsidRPr="00B44690" w:rsidRDefault="00784651" w:rsidP="007F7299">
      <w:pPr>
        <w:spacing w:after="0" w:line="240" w:lineRule="auto"/>
        <w:ind w:right="540"/>
        <w:jc w:val="center"/>
        <w:rPr>
          <w:rFonts w:cs="Arial"/>
          <w:bCs/>
          <w:sz w:val="20"/>
          <w:szCs w:val="20"/>
        </w:rPr>
      </w:pPr>
      <w:r w:rsidRPr="00B44690">
        <w:rPr>
          <w:rFonts w:cs="Arial"/>
          <w:bCs/>
          <w:sz w:val="20"/>
          <w:szCs w:val="20"/>
          <w:lang w:eastAsia="de-DE"/>
        </w:rPr>
        <w:t>Landesarbeitsgericht Baden-Württemberg</w:t>
      </w:r>
      <w:r w:rsidR="00B83844" w:rsidRPr="00B44690">
        <w:rPr>
          <w:rFonts w:cs="Arial"/>
          <w:bCs/>
          <w:sz w:val="20"/>
          <w:szCs w:val="20"/>
          <w:lang w:eastAsia="de-DE"/>
        </w:rPr>
        <w:t>,</w:t>
      </w:r>
      <w:r w:rsidR="007F7299" w:rsidRPr="00B44690">
        <w:rPr>
          <w:rFonts w:cs="Arial"/>
          <w:bCs/>
          <w:sz w:val="20"/>
          <w:szCs w:val="20"/>
          <w:lang w:eastAsia="de-DE"/>
        </w:rPr>
        <w:t xml:space="preserve"> </w:t>
      </w:r>
      <w:r w:rsidR="00B83844" w:rsidRPr="00B44690">
        <w:rPr>
          <w:rFonts w:cs="Arial"/>
          <w:bCs/>
          <w:sz w:val="20"/>
          <w:szCs w:val="20"/>
        </w:rPr>
        <w:t>Urteil vom 6.9.2017, 4 Sa 3/17</w:t>
      </w:r>
    </w:p>
    <w:p w:rsidR="007F7299" w:rsidRPr="007F7299" w:rsidRDefault="007F7299" w:rsidP="007F7299">
      <w:pPr>
        <w:spacing w:after="0" w:line="240" w:lineRule="auto"/>
        <w:ind w:right="540"/>
        <w:jc w:val="center"/>
        <w:rPr>
          <w:rFonts w:cs="Arial"/>
          <w:b/>
          <w:bCs/>
          <w:sz w:val="20"/>
          <w:szCs w:val="20"/>
        </w:rPr>
      </w:pPr>
    </w:p>
    <w:p w:rsidR="00784651" w:rsidRDefault="00784651" w:rsidP="007F7299">
      <w:pPr>
        <w:spacing w:after="0" w:line="240" w:lineRule="auto"/>
        <w:jc w:val="both"/>
        <w:rPr>
          <w:rFonts w:cs="Arial"/>
          <w:sz w:val="20"/>
          <w:szCs w:val="20"/>
          <w:lang w:eastAsia="de-DE"/>
        </w:rPr>
      </w:pPr>
      <w:r w:rsidRPr="007F7299">
        <w:rPr>
          <w:rFonts w:cs="Arial"/>
          <w:sz w:val="20"/>
          <w:szCs w:val="20"/>
          <w:lang w:eastAsia="de-DE"/>
        </w:rPr>
        <w:t xml:space="preserve">Ob Auslandsdienstreisen kraft Direktionsrecht angeordnet werden dürfen, hängt davon ab, ob die im Arbeitsvertrag gem. § 611 Abs. 1 BGB "versprochenen Dienste" ihrer Natur nach mit gelegentlichen </w:t>
      </w:r>
      <w:r w:rsidRPr="007F7299">
        <w:rPr>
          <w:rFonts w:cs="Arial"/>
          <w:sz w:val="20"/>
          <w:szCs w:val="20"/>
          <w:lang w:eastAsia="de-DE"/>
        </w:rPr>
        <w:lastRenderedPageBreak/>
        <w:t>Auslandseinsätzen verbunden sein können. Dies dürfte angesichts der zunehmenden Internationalisierung im Wirtschaftsleben für einen Großteil der Berufsbilder zutreffen.</w:t>
      </w:r>
    </w:p>
    <w:p w:rsidR="00611AD8" w:rsidRPr="007F7299" w:rsidRDefault="00611AD8" w:rsidP="007F7299">
      <w:pPr>
        <w:spacing w:after="0" w:line="240" w:lineRule="auto"/>
        <w:jc w:val="both"/>
        <w:rPr>
          <w:rFonts w:cs="Arial"/>
          <w:sz w:val="20"/>
          <w:szCs w:val="20"/>
          <w:lang w:eastAsia="de-DE"/>
        </w:rPr>
      </w:pPr>
    </w:p>
    <w:p w:rsidR="00784651" w:rsidRPr="007F7299" w:rsidRDefault="00784651" w:rsidP="007F7299">
      <w:pPr>
        <w:spacing w:after="0" w:line="240" w:lineRule="auto"/>
        <w:rPr>
          <w:rFonts w:cs="Arial"/>
          <w:b/>
          <w:bCs/>
          <w:color w:val="002060"/>
          <w:sz w:val="16"/>
          <w:szCs w:val="16"/>
          <w:u w:val="single"/>
          <w:lang w:eastAsia="de-DE"/>
        </w:rPr>
      </w:pPr>
      <w:r w:rsidRPr="007F7299">
        <w:rPr>
          <w:rFonts w:cs="Arial"/>
          <w:b/>
          <w:bCs/>
          <w:color w:val="002060"/>
          <w:sz w:val="16"/>
          <w:szCs w:val="16"/>
          <w:u w:val="single"/>
          <w:lang w:eastAsia="de-DE"/>
        </w:rPr>
        <w:t xml:space="preserve">Siehe: </w:t>
      </w:r>
    </w:p>
    <w:p w:rsidR="00784651" w:rsidRPr="007F7299" w:rsidRDefault="00784651" w:rsidP="007F7299">
      <w:pPr>
        <w:spacing w:after="0" w:line="240" w:lineRule="auto"/>
        <w:rPr>
          <w:rFonts w:cs="Arial"/>
          <w:color w:val="002060"/>
          <w:sz w:val="16"/>
          <w:szCs w:val="16"/>
          <w:lang w:eastAsia="de-DE"/>
        </w:rPr>
      </w:pPr>
      <w:hyperlink r:id="rId10" w:history="1">
        <w:r w:rsidRPr="007F7299">
          <w:rPr>
            <w:rStyle w:val="Hyperlink"/>
            <w:rFonts w:cs="Arial"/>
            <w:sz w:val="16"/>
            <w:szCs w:val="16"/>
          </w:rPr>
          <w:t>http://lrbw.juris.de/cgi-bin/laender_rechtsprechung/document.py?Gericht=bw&amp;GerichtAuswahl=Arbeitsgerichte&amp;Art=en&amp;Datum=2017&amp;Seite=0&amp;nr=22736&amp;pos=0&amp;anz=38</w:t>
        </w:r>
      </w:hyperlink>
    </w:p>
    <w:p w:rsidR="00784651" w:rsidRDefault="00784651" w:rsidP="007F7299">
      <w:pPr>
        <w:spacing w:after="0" w:line="240" w:lineRule="auto"/>
        <w:rPr>
          <w:sz w:val="20"/>
          <w:szCs w:val="20"/>
        </w:rPr>
      </w:pPr>
    </w:p>
    <w:p w:rsidR="00DA70DB" w:rsidRPr="003D2A35" w:rsidRDefault="003D2A35" w:rsidP="003D2A35">
      <w:pPr>
        <w:spacing w:after="0" w:line="240" w:lineRule="auto"/>
        <w:jc w:val="center"/>
        <w:rPr>
          <w:b/>
          <w:sz w:val="20"/>
          <w:szCs w:val="20"/>
        </w:rPr>
      </w:pPr>
      <w:r w:rsidRPr="003D2A35">
        <w:rPr>
          <w:b/>
          <w:sz w:val="20"/>
          <w:szCs w:val="20"/>
        </w:rPr>
        <w:t>VI.</w:t>
      </w:r>
    </w:p>
    <w:p w:rsidR="003D2A35" w:rsidRPr="003D2A35" w:rsidRDefault="003D2A35" w:rsidP="003D2A35">
      <w:pPr>
        <w:spacing w:after="0" w:line="240" w:lineRule="auto"/>
        <w:jc w:val="center"/>
        <w:rPr>
          <w:b/>
          <w:sz w:val="20"/>
          <w:szCs w:val="20"/>
        </w:rPr>
      </w:pPr>
      <w:r w:rsidRPr="003D2A35">
        <w:rPr>
          <w:b/>
          <w:sz w:val="20"/>
          <w:szCs w:val="20"/>
        </w:rPr>
        <w:t>Widerruf der Versicherungsvermittlererlaubnis bei rechtskräftiger Verurteilung wegen Betrugs</w:t>
      </w:r>
    </w:p>
    <w:p w:rsidR="003D2A35" w:rsidRDefault="003D2A35" w:rsidP="003D2A35">
      <w:pPr>
        <w:spacing w:after="0" w:line="240" w:lineRule="auto"/>
        <w:jc w:val="center"/>
        <w:rPr>
          <w:sz w:val="20"/>
          <w:szCs w:val="20"/>
        </w:rPr>
      </w:pPr>
      <w:r w:rsidRPr="003D2A35">
        <w:rPr>
          <w:sz w:val="20"/>
          <w:szCs w:val="20"/>
        </w:rPr>
        <w:t>O</w:t>
      </w:r>
      <w:r>
        <w:rPr>
          <w:sz w:val="20"/>
          <w:szCs w:val="20"/>
        </w:rPr>
        <w:t>VG</w:t>
      </w:r>
      <w:r w:rsidRPr="003D2A35">
        <w:rPr>
          <w:sz w:val="20"/>
          <w:szCs w:val="20"/>
        </w:rPr>
        <w:t xml:space="preserve"> des Saarlandes, Beschluss vom 29. August 2017</w:t>
      </w:r>
      <w:r>
        <w:rPr>
          <w:sz w:val="20"/>
          <w:szCs w:val="20"/>
        </w:rPr>
        <w:t>, Az.</w:t>
      </w:r>
      <w:r w:rsidRPr="003D2A35">
        <w:rPr>
          <w:sz w:val="20"/>
          <w:szCs w:val="20"/>
        </w:rPr>
        <w:t xml:space="preserve"> 1 A 399/17</w:t>
      </w:r>
    </w:p>
    <w:p w:rsidR="00DA70DB" w:rsidRDefault="00DA70DB" w:rsidP="007F7299">
      <w:pPr>
        <w:spacing w:after="0" w:line="240" w:lineRule="auto"/>
        <w:rPr>
          <w:sz w:val="20"/>
          <w:szCs w:val="20"/>
        </w:rPr>
      </w:pPr>
    </w:p>
    <w:p w:rsidR="003D2A35" w:rsidRPr="003D2A35" w:rsidRDefault="003D2A35" w:rsidP="003D2A35">
      <w:pPr>
        <w:spacing w:after="0" w:line="240" w:lineRule="auto"/>
        <w:jc w:val="both"/>
        <w:rPr>
          <w:sz w:val="20"/>
          <w:szCs w:val="20"/>
        </w:rPr>
      </w:pPr>
      <w:r w:rsidRPr="003D2A35">
        <w:rPr>
          <w:sz w:val="20"/>
          <w:szCs w:val="20"/>
        </w:rPr>
        <w:t>1. Nach der gesetzlichen Vorgabe des § 34 d Abs. 2 Nr. 1 2. Hs. GewO ist bei Vorliegen eines rechtskräftigen Strafurteils bzw. Strafbefehls wegen Betrugs im Regelfall der Tatbestand der Unzuverlässigkeit erfüllt und der Widerruf der Versicherungsvermittlererlaubnis von daher rechtmäßig.(Rn.9)</w:t>
      </w:r>
    </w:p>
    <w:p w:rsidR="003D2A35" w:rsidRPr="003D2A35" w:rsidRDefault="003D2A35" w:rsidP="003D2A35">
      <w:pPr>
        <w:spacing w:after="0" w:line="240" w:lineRule="auto"/>
        <w:jc w:val="both"/>
        <w:rPr>
          <w:sz w:val="20"/>
          <w:szCs w:val="20"/>
        </w:rPr>
      </w:pPr>
    </w:p>
    <w:p w:rsidR="003D2A35" w:rsidRPr="003D2A35" w:rsidRDefault="003D2A35" w:rsidP="003D2A35">
      <w:pPr>
        <w:spacing w:after="0" w:line="240" w:lineRule="auto"/>
        <w:jc w:val="both"/>
        <w:rPr>
          <w:sz w:val="20"/>
          <w:szCs w:val="20"/>
        </w:rPr>
      </w:pPr>
      <w:r w:rsidRPr="003D2A35">
        <w:rPr>
          <w:sz w:val="20"/>
          <w:szCs w:val="20"/>
        </w:rPr>
        <w:t>2. Diese Regelvermutung kann im Einzelfall durch besondere in der Person oder im Verhalten des Vermittlers bzw. in den Umständen der Tatbegehung oder der Strafbemessung liegende Gründe ausnahmsweise widerlegt sein.(Rn.12)</w:t>
      </w:r>
    </w:p>
    <w:p w:rsidR="003D2A35" w:rsidRPr="003D2A35" w:rsidRDefault="003D2A35" w:rsidP="003D2A35">
      <w:pPr>
        <w:spacing w:after="0" w:line="240" w:lineRule="auto"/>
        <w:jc w:val="both"/>
        <w:rPr>
          <w:sz w:val="20"/>
          <w:szCs w:val="20"/>
        </w:rPr>
      </w:pPr>
    </w:p>
    <w:p w:rsidR="003D2A35" w:rsidRDefault="003D2A35" w:rsidP="003D2A35">
      <w:pPr>
        <w:spacing w:after="0" w:line="240" w:lineRule="auto"/>
        <w:jc w:val="both"/>
        <w:rPr>
          <w:sz w:val="20"/>
          <w:szCs w:val="20"/>
        </w:rPr>
      </w:pPr>
      <w:r w:rsidRPr="003D2A35">
        <w:rPr>
          <w:sz w:val="20"/>
          <w:szCs w:val="20"/>
        </w:rPr>
        <w:t>3. Der Vortrag des Erlaubnisinhabers, die rechtskräftige Verurteilung basiere auf einer strafprozessual unzulässigen Verständigung im Sinn des § 257 c StPO, einem nicht auf seine Glaubwürdigkeit geprüften Geständnis und dem Absehen des Strafgerichts von einer gebotenen Beweisaufnahme, weswegen die Verwaltungsbehörde und die Verwaltungsgerichte im Widerrufsverfahren zur eigenständigen Prüfung der Strafbarkeit berufen seien, ist nicht geeignet, die Regelvermutung des § 34 d Abs. 2 Nr. 1 2. Hs. GewO zu widerlegen.(Rn.16)(Rn.4)</w:t>
      </w:r>
    </w:p>
    <w:p w:rsidR="00DA70DB" w:rsidRDefault="00DA70DB" w:rsidP="007F7299">
      <w:pPr>
        <w:spacing w:after="0" w:line="240" w:lineRule="auto"/>
        <w:rPr>
          <w:sz w:val="20"/>
          <w:szCs w:val="20"/>
        </w:rPr>
      </w:pPr>
    </w:p>
    <w:p w:rsidR="003D2A35" w:rsidRPr="003D2A35" w:rsidRDefault="003D2A35" w:rsidP="003D2A35">
      <w:pPr>
        <w:spacing w:after="0" w:line="240" w:lineRule="auto"/>
        <w:jc w:val="center"/>
        <w:rPr>
          <w:b/>
          <w:sz w:val="20"/>
          <w:szCs w:val="20"/>
        </w:rPr>
      </w:pPr>
      <w:r w:rsidRPr="003D2A35">
        <w:rPr>
          <w:b/>
          <w:sz w:val="20"/>
          <w:szCs w:val="20"/>
        </w:rPr>
        <w:t>VII.</w:t>
      </w:r>
    </w:p>
    <w:p w:rsidR="003D2A35" w:rsidRPr="003D2A35" w:rsidRDefault="003D2A35" w:rsidP="003D2A35">
      <w:pPr>
        <w:spacing w:after="0" w:line="240" w:lineRule="auto"/>
        <w:jc w:val="center"/>
        <w:rPr>
          <w:b/>
          <w:sz w:val="20"/>
          <w:szCs w:val="20"/>
        </w:rPr>
      </w:pPr>
      <w:r w:rsidRPr="003D2A35">
        <w:rPr>
          <w:b/>
          <w:sz w:val="20"/>
          <w:szCs w:val="20"/>
        </w:rPr>
        <w:t>Provision des Handelsvertreters: Verjährung des Anspruchs auf Erteilung eines Buchauszugs</w:t>
      </w:r>
    </w:p>
    <w:p w:rsidR="00DA70DB" w:rsidRPr="003D2A35" w:rsidRDefault="003D2A35" w:rsidP="003D2A35">
      <w:pPr>
        <w:spacing w:after="0" w:line="240" w:lineRule="auto"/>
        <w:jc w:val="center"/>
        <w:rPr>
          <w:sz w:val="20"/>
          <w:szCs w:val="20"/>
        </w:rPr>
      </w:pPr>
      <w:r w:rsidRPr="003D2A35">
        <w:rPr>
          <w:sz w:val="20"/>
          <w:szCs w:val="20"/>
        </w:rPr>
        <w:t>BGH, Urteil vom 03. August 2017</w:t>
      </w:r>
      <w:r>
        <w:rPr>
          <w:sz w:val="20"/>
          <w:szCs w:val="20"/>
        </w:rPr>
        <w:t>, Az.</w:t>
      </w:r>
      <w:r w:rsidRPr="003D2A35">
        <w:rPr>
          <w:sz w:val="20"/>
          <w:szCs w:val="20"/>
        </w:rPr>
        <w:t xml:space="preserve"> VII ZR 32/17</w:t>
      </w:r>
    </w:p>
    <w:p w:rsidR="003D2A35" w:rsidRDefault="003D2A35" w:rsidP="007F7299">
      <w:pPr>
        <w:spacing w:after="0" w:line="240" w:lineRule="auto"/>
      </w:pPr>
    </w:p>
    <w:p w:rsidR="003D2A35" w:rsidRPr="003D2A35" w:rsidRDefault="003D2A35" w:rsidP="003D2A35">
      <w:pPr>
        <w:spacing w:after="0" w:line="240" w:lineRule="auto"/>
        <w:jc w:val="both"/>
        <w:rPr>
          <w:sz w:val="20"/>
          <w:szCs w:val="20"/>
        </w:rPr>
      </w:pPr>
      <w:r>
        <w:rPr>
          <w:sz w:val="20"/>
          <w:szCs w:val="20"/>
        </w:rPr>
        <w:t>1.</w:t>
      </w:r>
      <w:r w:rsidRPr="003D2A35">
        <w:rPr>
          <w:sz w:val="20"/>
          <w:szCs w:val="20"/>
        </w:rPr>
        <w:t xml:space="preserve"> Die Verjährung des Anspruchs des Handelsvertreters auf Erteilung eines Buchauszugs nach § 87c Abs. 2 HGB beginnt regelmäßig mit dem Schluss des Jahres, in dem der Unternehmer dem Handelsvertreter eine abschließende Abrechnung über die diesem zustehende Provision erteilt hat.(Rn.15)</w:t>
      </w:r>
    </w:p>
    <w:p w:rsidR="003D2A35" w:rsidRDefault="003D2A35" w:rsidP="003D2A35">
      <w:pPr>
        <w:spacing w:after="0" w:line="240" w:lineRule="auto"/>
        <w:jc w:val="both"/>
        <w:rPr>
          <w:sz w:val="20"/>
          <w:szCs w:val="20"/>
        </w:rPr>
      </w:pPr>
      <w:r w:rsidRPr="003D2A35">
        <w:rPr>
          <w:sz w:val="20"/>
          <w:szCs w:val="20"/>
        </w:rPr>
        <w:t>2. Der Handelsvertreter ist, wenn der Unternehmer die Erteilung einer Abrechnung über die dem Handelsvertreter zustehende Provision verweigert, obwohl er zur Abrechnung verpflichtet ist, grundsätzlich berechtigt, die Vorlage eines Buchauszugs zusammen mit der Abrechnung über die Provision gerichtlich geltend zu machen (Abgrenzung zu BGH, Beschluss vom 20. Mai 2014, VII ZR 187/13).(Rn.18)</w:t>
      </w:r>
    </w:p>
    <w:p w:rsidR="00DA70DB" w:rsidRDefault="00DA70DB" w:rsidP="007F7299">
      <w:pPr>
        <w:spacing w:after="0" w:line="240" w:lineRule="auto"/>
        <w:rPr>
          <w:sz w:val="20"/>
          <w:szCs w:val="20"/>
        </w:rPr>
      </w:pPr>
    </w:p>
    <w:p w:rsidR="00DA70DB" w:rsidRPr="003D2A35" w:rsidRDefault="003D2A35" w:rsidP="003D2A35">
      <w:pPr>
        <w:spacing w:after="0" w:line="240" w:lineRule="auto"/>
        <w:jc w:val="center"/>
        <w:rPr>
          <w:b/>
          <w:sz w:val="20"/>
          <w:szCs w:val="20"/>
        </w:rPr>
      </w:pPr>
      <w:r w:rsidRPr="003D2A35">
        <w:rPr>
          <w:b/>
          <w:sz w:val="20"/>
          <w:szCs w:val="20"/>
        </w:rPr>
        <w:t>VIII.</w:t>
      </w:r>
    </w:p>
    <w:p w:rsidR="003D2A35" w:rsidRPr="003D2A35" w:rsidRDefault="003D2A35" w:rsidP="003D2A35">
      <w:pPr>
        <w:spacing w:after="0" w:line="240" w:lineRule="auto"/>
        <w:jc w:val="center"/>
        <w:rPr>
          <w:b/>
          <w:sz w:val="20"/>
          <w:szCs w:val="20"/>
        </w:rPr>
      </w:pPr>
      <w:r w:rsidRPr="003D2A35">
        <w:rPr>
          <w:b/>
          <w:sz w:val="20"/>
          <w:szCs w:val="20"/>
        </w:rPr>
        <w:t>Gewerbeuntersagung: Zuverlässigkeitsbeurteilung bei juristischer Person - Geschäftsführer</w:t>
      </w:r>
    </w:p>
    <w:p w:rsidR="003D2A35" w:rsidRDefault="003D2A35" w:rsidP="003D2A35">
      <w:pPr>
        <w:spacing w:after="0" w:line="240" w:lineRule="auto"/>
        <w:jc w:val="center"/>
        <w:rPr>
          <w:sz w:val="20"/>
          <w:szCs w:val="20"/>
        </w:rPr>
      </w:pPr>
      <w:r>
        <w:rPr>
          <w:sz w:val="20"/>
          <w:szCs w:val="20"/>
        </w:rPr>
        <w:t xml:space="preserve">OVG </w:t>
      </w:r>
      <w:r w:rsidRPr="003D2A35">
        <w:rPr>
          <w:sz w:val="20"/>
          <w:szCs w:val="20"/>
        </w:rPr>
        <w:t>Nordrhein-Westfalen, Beschluss vom 28. August 2017</w:t>
      </w:r>
      <w:r>
        <w:rPr>
          <w:sz w:val="20"/>
          <w:szCs w:val="20"/>
        </w:rPr>
        <w:t>, Az.</w:t>
      </w:r>
      <w:r w:rsidRPr="003D2A35">
        <w:rPr>
          <w:sz w:val="20"/>
          <w:szCs w:val="20"/>
        </w:rPr>
        <w:t xml:space="preserve"> 4 A 2233/15</w:t>
      </w:r>
    </w:p>
    <w:p w:rsidR="003D2A35" w:rsidRDefault="003D2A35" w:rsidP="007F7299">
      <w:pPr>
        <w:spacing w:after="0" w:line="240" w:lineRule="auto"/>
        <w:rPr>
          <w:sz w:val="20"/>
          <w:szCs w:val="20"/>
        </w:rPr>
      </w:pPr>
    </w:p>
    <w:p w:rsidR="003D2A35" w:rsidRPr="003D2A35" w:rsidRDefault="003D2A35" w:rsidP="003D2A35">
      <w:pPr>
        <w:spacing w:after="0" w:line="240" w:lineRule="auto"/>
        <w:jc w:val="both"/>
        <w:rPr>
          <w:sz w:val="20"/>
          <w:szCs w:val="20"/>
        </w:rPr>
      </w:pPr>
      <w:r w:rsidRPr="003D2A35">
        <w:rPr>
          <w:sz w:val="20"/>
          <w:szCs w:val="20"/>
        </w:rPr>
        <w:t>1. Handelt es sich bei dem Gewerbetreibenden um eine juristische Person, ist bei der Beurteilung ihrer Zuverlässigkeit grundsätzlich auf das Verhalten der für sie handelnden gesetzlichen oder rechtsgeschäftlichen Vertreter abzustellen.(Rn.8)</w:t>
      </w:r>
    </w:p>
    <w:p w:rsidR="003D2A35" w:rsidRDefault="003D2A35" w:rsidP="003D2A35">
      <w:pPr>
        <w:spacing w:after="0" w:line="240" w:lineRule="auto"/>
        <w:jc w:val="both"/>
        <w:rPr>
          <w:sz w:val="20"/>
          <w:szCs w:val="20"/>
        </w:rPr>
      </w:pPr>
      <w:r w:rsidRPr="003D2A35">
        <w:rPr>
          <w:sz w:val="20"/>
          <w:szCs w:val="20"/>
        </w:rPr>
        <w:t>2. Auch soweit sich die Unzuverlässigkeit des Geschäftsführers einer Unternehmergesellschaft aus Tatsachen ergibt, die nicht im Zusammenhang mit der Geschäftsführertätigkeit eingetreten sind, können diese bei der Beurteilung der Zuverlässigkeit der Unternehmergesellschaft zu deren Lasten zu berücksichtigen sein.(Rn.10)</w:t>
      </w:r>
    </w:p>
    <w:p w:rsidR="003D2A35" w:rsidRDefault="003D2A35" w:rsidP="007F7299">
      <w:pPr>
        <w:spacing w:after="0" w:line="240" w:lineRule="auto"/>
        <w:rPr>
          <w:sz w:val="20"/>
          <w:szCs w:val="20"/>
        </w:rPr>
      </w:pPr>
    </w:p>
    <w:p w:rsidR="00DA70DB" w:rsidRPr="003D2A35" w:rsidRDefault="003D2A35" w:rsidP="003D2A35">
      <w:pPr>
        <w:spacing w:after="0" w:line="240" w:lineRule="auto"/>
        <w:jc w:val="center"/>
        <w:rPr>
          <w:b/>
          <w:sz w:val="20"/>
          <w:szCs w:val="20"/>
        </w:rPr>
      </w:pPr>
      <w:r w:rsidRPr="003D2A35">
        <w:rPr>
          <w:b/>
          <w:sz w:val="20"/>
          <w:szCs w:val="20"/>
        </w:rPr>
        <w:t>IX.</w:t>
      </w:r>
    </w:p>
    <w:p w:rsidR="00DA70DB" w:rsidRPr="00C12593" w:rsidRDefault="00C12593" w:rsidP="00C12593">
      <w:pPr>
        <w:spacing w:after="0" w:line="240" w:lineRule="auto"/>
        <w:jc w:val="center"/>
        <w:rPr>
          <w:b/>
          <w:sz w:val="20"/>
          <w:szCs w:val="20"/>
        </w:rPr>
      </w:pPr>
      <w:r w:rsidRPr="00C12593">
        <w:rPr>
          <w:b/>
          <w:sz w:val="20"/>
          <w:szCs w:val="20"/>
        </w:rPr>
        <w:t>Betriebspflichtklausel in Allgemeinen Geschäftsbedingungen</w:t>
      </w:r>
    </w:p>
    <w:p w:rsidR="003D2A35" w:rsidRDefault="003D2A35" w:rsidP="003D2A35">
      <w:pPr>
        <w:spacing w:after="0" w:line="240" w:lineRule="auto"/>
        <w:jc w:val="center"/>
        <w:rPr>
          <w:sz w:val="20"/>
          <w:szCs w:val="20"/>
        </w:rPr>
      </w:pPr>
      <w:r w:rsidRPr="003D2A35">
        <w:rPr>
          <w:sz w:val="20"/>
          <w:szCs w:val="20"/>
        </w:rPr>
        <w:t>OLG Hamm, Urteil vom 09. August 2017</w:t>
      </w:r>
      <w:r>
        <w:rPr>
          <w:sz w:val="20"/>
          <w:szCs w:val="20"/>
        </w:rPr>
        <w:t>, Az</w:t>
      </w:r>
      <w:r w:rsidRPr="003D2A35">
        <w:rPr>
          <w:sz w:val="20"/>
          <w:szCs w:val="20"/>
        </w:rPr>
        <w:t xml:space="preserve"> 30 U 53/17</w:t>
      </w:r>
    </w:p>
    <w:p w:rsidR="003D2A35" w:rsidRDefault="003D2A35" w:rsidP="007F7299">
      <w:pPr>
        <w:spacing w:after="0" w:line="240" w:lineRule="auto"/>
        <w:rPr>
          <w:sz w:val="20"/>
          <w:szCs w:val="20"/>
        </w:rPr>
      </w:pPr>
    </w:p>
    <w:p w:rsidR="003D2A35" w:rsidRDefault="00C12593" w:rsidP="00611AD8">
      <w:pPr>
        <w:spacing w:after="0" w:line="240" w:lineRule="auto"/>
        <w:jc w:val="both"/>
        <w:rPr>
          <w:sz w:val="20"/>
          <w:szCs w:val="20"/>
        </w:rPr>
      </w:pPr>
      <w:r w:rsidRPr="00C12593">
        <w:rPr>
          <w:sz w:val="20"/>
          <w:szCs w:val="20"/>
        </w:rPr>
        <w:t>Stellt eine Betriebspflichtklausel in Allgemeinen Geschäftsbedingungen eines Vermieters auf die Öffnungszeiten der "überwiegenden Anzahl der Mieter" in dem Einkaufscenter ab, ist diese Klausel jedenfalls dann nicht intransparent und nach § 307 BGB unwirksam, wenn das Einkaufscenter bei Abschluss des Mietvertrages schon länger betrieben wird.</w:t>
      </w:r>
    </w:p>
    <w:p w:rsidR="00C12593" w:rsidRDefault="00C12593" w:rsidP="007F7299">
      <w:pPr>
        <w:spacing w:after="0" w:line="240" w:lineRule="auto"/>
        <w:rPr>
          <w:sz w:val="20"/>
          <w:szCs w:val="20"/>
        </w:rPr>
      </w:pPr>
    </w:p>
    <w:p w:rsidR="00C12593" w:rsidRPr="00C12593" w:rsidRDefault="00C12593" w:rsidP="00C12593">
      <w:pPr>
        <w:spacing w:after="0" w:line="240" w:lineRule="auto"/>
        <w:jc w:val="center"/>
        <w:rPr>
          <w:b/>
          <w:sz w:val="20"/>
          <w:szCs w:val="20"/>
        </w:rPr>
      </w:pPr>
      <w:r w:rsidRPr="00C12593">
        <w:rPr>
          <w:b/>
          <w:sz w:val="20"/>
          <w:szCs w:val="20"/>
        </w:rPr>
        <w:t>X.</w:t>
      </w:r>
    </w:p>
    <w:p w:rsidR="00C12593" w:rsidRPr="00C12593" w:rsidRDefault="00C12593" w:rsidP="00C12593">
      <w:pPr>
        <w:spacing w:after="0" w:line="240" w:lineRule="auto"/>
        <w:jc w:val="center"/>
        <w:rPr>
          <w:b/>
          <w:sz w:val="20"/>
          <w:szCs w:val="20"/>
        </w:rPr>
      </w:pPr>
      <w:r w:rsidRPr="00C12593">
        <w:rPr>
          <w:b/>
          <w:sz w:val="20"/>
          <w:szCs w:val="20"/>
        </w:rPr>
        <w:t>Schadenersatz aus Verkehrsunfall: Gegen eine Unfallmanipulation sprechende Indizien</w:t>
      </w:r>
    </w:p>
    <w:p w:rsidR="00C12593" w:rsidRDefault="00C12593" w:rsidP="00C12593">
      <w:pPr>
        <w:spacing w:after="0" w:line="240" w:lineRule="auto"/>
        <w:jc w:val="center"/>
        <w:rPr>
          <w:sz w:val="20"/>
          <w:szCs w:val="20"/>
        </w:rPr>
      </w:pPr>
      <w:r w:rsidRPr="00C12593">
        <w:rPr>
          <w:sz w:val="20"/>
          <w:szCs w:val="20"/>
        </w:rPr>
        <w:t>OLG Hamm, Urteil vom 01. August 2017</w:t>
      </w:r>
      <w:r>
        <w:rPr>
          <w:sz w:val="20"/>
          <w:szCs w:val="20"/>
        </w:rPr>
        <w:t>, Az.</w:t>
      </w:r>
      <w:r w:rsidRPr="00C12593">
        <w:rPr>
          <w:sz w:val="20"/>
          <w:szCs w:val="20"/>
        </w:rPr>
        <w:t xml:space="preserve"> 9 U 59/16</w:t>
      </w:r>
    </w:p>
    <w:p w:rsidR="00C12593" w:rsidRDefault="00C12593" w:rsidP="007F7299">
      <w:pPr>
        <w:spacing w:after="0" w:line="240" w:lineRule="auto"/>
        <w:rPr>
          <w:sz w:val="20"/>
          <w:szCs w:val="20"/>
        </w:rPr>
      </w:pPr>
    </w:p>
    <w:p w:rsidR="00C12593" w:rsidRPr="00C12593" w:rsidRDefault="00C12593" w:rsidP="00C12593">
      <w:pPr>
        <w:spacing w:after="0" w:line="240" w:lineRule="auto"/>
        <w:jc w:val="both"/>
        <w:rPr>
          <w:sz w:val="20"/>
          <w:szCs w:val="20"/>
        </w:rPr>
      </w:pPr>
      <w:r w:rsidRPr="00C12593">
        <w:rPr>
          <w:sz w:val="20"/>
          <w:szCs w:val="20"/>
        </w:rPr>
        <w:t>1. Der Beweis einer Unfallmanipulation ist grundsätzlich durch den Nachweis einer ungewöhnlichen Häufung typischer Umstände zu erbringen, die in ihrem Zusammenwirken nur den Schluss zulassen, dass der geschädigte Anspruchsteller in die Beschädigung seines Fahrzeugs eingewilligt hat.(Rn.20)</w:t>
      </w:r>
    </w:p>
    <w:p w:rsidR="00C12593" w:rsidRPr="00C12593" w:rsidRDefault="00C12593" w:rsidP="00C12593">
      <w:pPr>
        <w:spacing w:after="0" w:line="240" w:lineRule="auto"/>
        <w:jc w:val="both"/>
        <w:rPr>
          <w:sz w:val="20"/>
          <w:szCs w:val="20"/>
        </w:rPr>
      </w:pPr>
      <w:r w:rsidRPr="00C12593">
        <w:rPr>
          <w:sz w:val="20"/>
          <w:szCs w:val="20"/>
        </w:rPr>
        <w:t>2. Gegen eine Unfallmanipulation sprechen vorliegend folgende Umstände:</w:t>
      </w:r>
    </w:p>
    <w:p w:rsidR="00C12593" w:rsidRPr="00C12593" w:rsidRDefault="00C12593" w:rsidP="00C12593">
      <w:pPr>
        <w:spacing w:after="0" w:line="240" w:lineRule="auto"/>
        <w:jc w:val="both"/>
        <w:rPr>
          <w:sz w:val="20"/>
          <w:szCs w:val="20"/>
        </w:rPr>
      </w:pPr>
      <w:r w:rsidRPr="00C12593">
        <w:rPr>
          <w:sz w:val="20"/>
          <w:szCs w:val="20"/>
        </w:rPr>
        <w:t>- Hätte der geschädigte Kläger sich eine abgesicherte Legende zurechtlegen wollen, hätte es nahegelegen, sich nicht auf eine Person - vorliegend eine verheiratete Geliebte - zu beziehen, die sich nicht offenbaren möchte.(Rn.31)</w:t>
      </w:r>
    </w:p>
    <w:p w:rsidR="00C12593" w:rsidRPr="00C12593" w:rsidRDefault="00C12593" w:rsidP="00C12593">
      <w:pPr>
        <w:spacing w:after="0" w:line="240" w:lineRule="auto"/>
        <w:jc w:val="both"/>
        <w:rPr>
          <w:sz w:val="20"/>
          <w:szCs w:val="20"/>
        </w:rPr>
      </w:pPr>
      <w:r w:rsidRPr="00C12593">
        <w:rPr>
          <w:sz w:val="20"/>
          <w:szCs w:val="20"/>
        </w:rPr>
        <w:t>- Bei dem geschädigten Fahrzeug handelt es sich um ein erstmals am 07.01.2008 zum Straßenverkehr zugelassenes unfallfreies und gut gepflegtes Fahrzeug mit einem Kilometerstand von 46.000 km und einem Wiederbeschaffungswert von 83.625,- €.(Rn.32)</w:t>
      </w:r>
    </w:p>
    <w:p w:rsidR="00C12593" w:rsidRPr="00C12593" w:rsidRDefault="00C12593" w:rsidP="00C12593">
      <w:pPr>
        <w:spacing w:after="0" w:line="240" w:lineRule="auto"/>
        <w:jc w:val="both"/>
        <w:rPr>
          <w:sz w:val="20"/>
          <w:szCs w:val="20"/>
        </w:rPr>
      </w:pPr>
      <w:r w:rsidRPr="00C12593">
        <w:rPr>
          <w:sz w:val="20"/>
          <w:szCs w:val="20"/>
        </w:rPr>
        <w:t>- Angesichts der ausgezeichneten finanziellen und wirtschaftlichen Situation des Klägers ist kein Grund ersichtlich, dass er sich auf betrügerische Art und Weise sanieren wollte.(Rn.33)</w:t>
      </w:r>
    </w:p>
    <w:p w:rsidR="00C12593" w:rsidRDefault="00C12593" w:rsidP="00C12593">
      <w:pPr>
        <w:spacing w:after="0" w:line="240" w:lineRule="auto"/>
        <w:jc w:val="both"/>
        <w:rPr>
          <w:sz w:val="20"/>
          <w:szCs w:val="20"/>
        </w:rPr>
      </w:pPr>
      <w:r w:rsidRPr="00C12593">
        <w:rPr>
          <w:sz w:val="20"/>
          <w:szCs w:val="20"/>
        </w:rPr>
        <w:t>- Der Kläger hat nicht nur die Reparatur seines Fahrzeugs, sondern auch den gesamten Prozess eigenfinanziert.(Rn.35)</w:t>
      </w:r>
    </w:p>
    <w:p w:rsidR="00C12593" w:rsidRDefault="00C12593" w:rsidP="007F7299">
      <w:pPr>
        <w:spacing w:after="0" w:line="240" w:lineRule="auto"/>
        <w:rPr>
          <w:sz w:val="20"/>
          <w:szCs w:val="20"/>
        </w:rPr>
      </w:pPr>
    </w:p>
    <w:p w:rsidR="00DA70DB" w:rsidRDefault="00DA70DB" w:rsidP="007F7299">
      <w:pPr>
        <w:spacing w:after="0" w:line="240" w:lineRule="auto"/>
        <w:rPr>
          <w:sz w:val="20"/>
          <w:szCs w:val="20"/>
        </w:rPr>
      </w:pPr>
    </w:p>
    <w:p w:rsidR="00C12593" w:rsidRPr="00C12593" w:rsidRDefault="00C12593" w:rsidP="00C12593">
      <w:pPr>
        <w:spacing w:after="0" w:line="240" w:lineRule="auto"/>
        <w:rPr>
          <w:sz w:val="20"/>
          <w:szCs w:val="20"/>
        </w:rPr>
      </w:pPr>
    </w:p>
    <w:p w:rsidR="00C12593" w:rsidRPr="00C12593" w:rsidRDefault="00C12593" w:rsidP="00C12593">
      <w:pPr>
        <w:spacing w:after="0" w:line="240" w:lineRule="auto"/>
        <w:rPr>
          <w:sz w:val="20"/>
          <w:szCs w:val="20"/>
        </w:rPr>
      </w:pPr>
      <w:r w:rsidRPr="00C12593">
        <w:rPr>
          <w:sz w:val="20"/>
          <w:szCs w:val="20"/>
        </w:rPr>
        <w:t>Für Rückfragen stehe ich Ihnen gerne zur Verfügung.</w:t>
      </w:r>
    </w:p>
    <w:p w:rsidR="00C12593" w:rsidRPr="00C12593" w:rsidRDefault="00C12593" w:rsidP="00C12593">
      <w:pPr>
        <w:spacing w:after="0" w:line="240" w:lineRule="auto"/>
        <w:rPr>
          <w:sz w:val="20"/>
          <w:szCs w:val="20"/>
        </w:rPr>
      </w:pPr>
    </w:p>
    <w:p w:rsidR="00C12593" w:rsidRPr="00C12593" w:rsidRDefault="00C12593" w:rsidP="00C12593">
      <w:pPr>
        <w:spacing w:after="0" w:line="240" w:lineRule="auto"/>
        <w:rPr>
          <w:sz w:val="20"/>
          <w:szCs w:val="20"/>
        </w:rPr>
      </w:pPr>
      <w:r w:rsidRPr="00C12593">
        <w:rPr>
          <w:sz w:val="20"/>
          <w:szCs w:val="20"/>
        </w:rPr>
        <w:t>Michael Henn</w:t>
      </w:r>
    </w:p>
    <w:p w:rsidR="00C12593" w:rsidRPr="00C12593" w:rsidRDefault="00C12593" w:rsidP="00C12593">
      <w:pPr>
        <w:spacing w:after="0" w:line="240" w:lineRule="auto"/>
        <w:rPr>
          <w:sz w:val="20"/>
          <w:szCs w:val="20"/>
        </w:rPr>
      </w:pPr>
      <w:r w:rsidRPr="00C12593">
        <w:rPr>
          <w:sz w:val="20"/>
          <w:szCs w:val="20"/>
        </w:rPr>
        <w:t>Rechtsanwalt</w:t>
      </w:r>
    </w:p>
    <w:p w:rsidR="00C12593" w:rsidRPr="00C12593" w:rsidRDefault="00C12593" w:rsidP="00C12593">
      <w:pPr>
        <w:spacing w:after="0" w:line="240" w:lineRule="auto"/>
        <w:rPr>
          <w:sz w:val="20"/>
          <w:szCs w:val="20"/>
        </w:rPr>
      </w:pPr>
      <w:r w:rsidRPr="00C12593">
        <w:rPr>
          <w:sz w:val="20"/>
          <w:szCs w:val="20"/>
        </w:rPr>
        <w:t>Fachanwalt für Erbrecht</w:t>
      </w:r>
    </w:p>
    <w:p w:rsidR="00C12593" w:rsidRPr="00C12593" w:rsidRDefault="00C12593" w:rsidP="00C12593">
      <w:pPr>
        <w:spacing w:after="0" w:line="240" w:lineRule="auto"/>
        <w:rPr>
          <w:sz w:val="20"/>
          <w:szCs w:val="20"/>
        </w:rPr>
      </w:pPr>
      <w:r w:rsidRPr="00C12593">
        <w:rPr>
          <w:sz w:val="20"/>
          <w:szCs w:val="20"/>
        </w:rPr>
        <w:t xml:space="preserve">Fachanwalt für Arbeitsrecht </w:t>
      </w:r>
    </w:p>
    <w:p w:rsidR="00C12593" w:rsidRPr="00C12593" w:rsidRDefault="00C12593" w:rsidP="00C12593">
      <w:pPr>
        <w:spacing w:after="0" w:line="240" w:lineRule="auto"/>
        <w:rPr>
          <w:sz w:val="20"/>
          <w:szCs w:val="20"/>
        </w:rPr>
      </w:pPr>
      <w:r w:rsidRPr="00C12593">
        <w:rPr>
          <w:sz w:val="20"/>
          <w:szCs w:val="20"/>
        </w:rPr>
        <w:t xml:space="preserve">Schriftleiter mittelstandsdepesche </w:t>
      </w:r>
    </w:p>
    <w:p w:rsidR="00C12593" w:rsidRPr="00C12593" w:rsidRDefault="00C12593" w:rsidP="00C12593">
      <w:pPr>
        <w:spacing w:after="0" w:line="240" w:lineRule="auto"/>
        <w:rPr>
          <w:sz w:val="20"/>
          <w:szCs w:val="20"/>
        </w:rPr>
      </w:pPr>
      <w:r w:rsidRPr="00C12593">
        <w:rPr>
          <w:sz w:val="20"/>
          <w:szCs w:val="20"/>
        </w:rPr>
        <w:t>Rechtsanwälte Dr. Gaupp &amp; Coll.</w:t>
      </w:r>
    </w:p>
    <w:p w:rsidR="00C12593" w:rsidRPr="00C12593" w:rsidRDefault="00C12593" w:rsidP="00C12593">
      <w:pPr>
        <w:spacing w:after="0" w:line="240" w:lineRule="auto"/>
        <w:rPr>
          <w:sz w:val="20"/>
          <w:szCs w:val="20"/>
        </w:rPr>
      </w:pPr>
      <w:r w:rsidRPr="00C12593">
        <w:rPr>
          <w:sz w:val="20"/>
          <w:szCs w:val="20"/>
        </w:rPr>
        <w:t xml:space="preserve">Kronprinzstr. 14 </w:t>
      </w:r>
    </w:p>
    <w:p w:rsidR="00C12593" w:rsidRPr="00C12593" w:rsidRDefault="00C12593" w:rsidP="00C12593">
      <w:pPr>
        <w:spacing w:after="0" w:line="240" w:lineRule="auto"/>
        <w:rPr>
          <w:sz w:val="20"/>
          <w:szCs w:val="20"/>
        </w:rPr>
      </w:pPr>
      <w:r w:rsidRPr="00C12593">
        <w:rPr>
          <w:sz w:val="20"/>
          <w:szCs w:val="20"/>
        </w:rPr>
        <w:t>70173 Stuttgart</w:t>
      </w:r>
    </w:p>
    <w:p w:rsidR="00C12593" w:rsidRPr="00C12593" w:rsidRDefault="00C12593" w:rsidP="00C12593">
      <w:pPr>
        <w:spacing w:after="0" w:line="240" w:lineRule="auto"/>
        <w:rPr>
          <w:sz w:val="20"/>
          <w:szCs w:val="20"/>
        </w:rPr>
      </w:pPr>
      <w:r w:rsidRPr="00C12593">
        <w:rPr>
          <w:sz w:val="20"/>
          <w:szCs w:val="20"/>
        </w:rPr>
        <w:t>Tel.: 0711/ 30 58 93-0</w:t>
      </w:r>
      <w:r w:rsidRPr="00C12593">
        <w:rPr>
          <w:sz w:val="20"/>
          <w:szCs w:val="20"/>
        </w:rPr>
        <w:tab/>
      </w:r>
      <w:r w:rsidRPr="00C12593">
        <w:rPr>
          <w:sz w:val="20"/>
          <w:szCs w:val="20"/>
        </w:rPr>
        <w:tab/>
        <w:t>Fax: 0711/ 30 58 93-11</w:t>
      </w:r>
    </w:p>
    <w:p w:rsidR="00C12593" w:rsidRPr="00C12593" w:rsidRDefault="00C12593" w:rsidP="00C12593">
      <w:pPr>
        <w:spacing w:after="0" w:line="240" w:lineRule="auto"/>
        <w:rPr>
          <w:sz w:val="20"/>
          <w:szCs w:val="20"/>
        </w:rPr>
      </w:pPr>
      <w:r w:rsidRPr="00C12593">
        <w:rPr>
          <w:sz w:val="20"/>
          <w:szCs w:val="20"/>
        </w:rPr>
        <w:t>e-Mail: henn@drgaupp.de</w:t>
      </w:r>
      <w:r w:rsidRPr="00C12593">
        <w:rPr>
          <w:sz w:val="20"/>
          <w:szCs w:val="20"/>
        </w:rPr>
        <w:tab/>
        <w:t>www.drgaupp.de</w:t>
      </w:r>
    </w:p>
    <w:p w:rsidR="00C12593" w:rsidRPr="00C12593" w:rsidRDefault="00C12593" w:rsidP="00C12593">
      <w:pPr>
        <w:spacing w:after="0" w:line="240" w:lineRule="auto"/>
        <w:rPr>
          <w:sz w:val="20"/>
          <w:szCs w:val="20"/>
        </w:rPr>
      </w:pPr>
    </w:p>
    <w:p w:rsidR="00C12593" w:rsidRPr="00C12593" w:rsidRDefault="00C12593" w:rsidP="00C12593">
      <w:pPr>
        <w:spacing w:after="0" w:line="240" w:lineRule="auto"/>
        <w:rPr>
          <w:sz w:val="20"/>
          <w:szCs w:val="20"/>
        </w:rPr>
      </w:pPr>
    </w:p>
    <w:p w:rsidR="00DA70DB" w:rsidRDefault="00DA70DB" w:rsidP="007F7299">
      <w:pPr>
        <w:spacing w:after="0" w:line="240" w:lineRule="auto"/>
        <w:rPr>
          <w:sz w:val="20"/>
          <w:szCs w:val="20"/>
        </w:rPr>
      </w:pPr>
    </w:p>
    <w:sectPr w:rsidR="00DA70D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25" w:rsidRDefault="00715625">
      <w:pPr>
        <w:spacing w:after="0" w:line="240" w:lineRule="auto"/>
      </w:pPr>
      <w:r>
        <w:separator/>
      </w:r>
    </w:p>
  </w:endnote>
  <w:endnote w:type="continuationSeparator" w:id="0">
    <w:p w:rsidR="00715625" w:rsidRDefault="0071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Univers 57 Condensed"/>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25" w:rsidRDefault="00715625">
      <w:pPr>
        <w:spacing w:after="0" w:line="240" w:lineRule="auto"/>
      </w:pPr>
      <w:r>
        <w:separator/>
      </w:r>
    </w:p>
  </w:footnote>
  <w:footnote w:type="continuationSeparator" w:id="0">
    <w:p w:rsidR="00715625" w:rsidRDefault="00715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2A" w:rsidRPr="00DB7C2A" w:rsidRDefault="008E3D44" w:rsidP="00DB7C2A">
    <w:pPr>
      <w:tabs>
        <w:tab w:val="center" w:pos="4819"/>
        <w:tab w:val="right" w:pos="9071"/>
      </w:tabs>
      <w:jc w:val="center"/>
      <w:rPr>
        <w:szCs w:val="20"/>
      </w:rPr>
    </w:pPr>
    <w:r w:rsidRPr="00DB7C2A">
      <w:rPr>
        <w:rFonts w:cs="Arial"/>
        <w:b/>
        <w:bCs/>
        <w:sz w:val="28"/>
        <w:szCs w:val="28"/>
      </w:rPr>
      <w:t>mittelstandsdepesche 0</w:t>
    </w:r>
    <w:r w:rsidR="007948DC">
      <w:rPr>
        <w:rFonts w:cs="Arial"/>
        <w:b/>
        <w:bCs/>
        <w:sz w:val="28"/>
        <w:szCs w:val="28"/>
      </w:rPr>
      <w:t>9</w:t>
    </w:r>
    <w:r w:rsidRPr="00DB7C2A">
      <w:rPr>
        <w:rFonts w:cs="Arial"/>
        <w:b/>
        <w:bCs/>
        <w:sz w:val="28"/>
        <w:szCs w:val="28"/>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AF6"/>
    <w:multiLevelType w:val="multilevel"/>
    <w:tmpl w:val="5CB8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527A3"/>
    <w:multiLevelType w:val="multilevel"/>
    <w:tmpl w:val="C5B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76006"/>
    <w:multiLevelType w:val="multilevel"/>
    <w:tmpl w:val="2B44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F2504"/>
    <w:multiLevelType w:val="multilevel"/>
    <w:tmpl w:val="895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84F76"/>
    <w:multiLevelType w:val="multilevel"/>
    <w:tmpl w:val="742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A7B6D"/>
    <w:multiLevelType w:val="multilevel"/>
    <w:tmpl w:val="CA9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44"/>
    <w:rsid w:val="00187D9F"/>
    <w:rsid w:val="001A4569"/>
    <w:rsid w:val="001D3EFE"/>
    <w:rsid w:val="00355E30"/>
    <w:rsid w:val="003D2A35"/>
    <w:rsid w:val="004B607A"/>
    <w:rsid w:val="00611AD8"/>
    <w:rsid w:val="00674E0F"/>
    <w:rsid w:val="00681778"/>
    <w:rsid w:val="006A6FDC"/>
    <w:rsid w:val="00715625"/>
    <w:rsid w:val="00734AF2"/>
    <w:rsid w:val="0074794A"/>
    <w:rsid w:val="00767C06"/>
    <w:rsid w:val="00784651"/>
    <w:rsid w:val="007938FE"/>
    <w:rsid w:val="007948DC"/>
    <w:rsid w:val="007F7299"/>
    <w:rsid w:val="00843804"/>
    <w:rsid w:val="008E3D44"/>
    <w:rsid w:val="009A2F78"/>
    <w:rsid w:val="00B31E5D"/>
    <w:rsid w:val="00B44690"/>
    <w:rsid w:val="00B83844"/>
    <w:rsid w:val="00C12593"/>
    <w:rsid w:val="00CA60B6"/>
    <w:rsid w:val="00CB782D"/>
    <w:rsid w:val="00CE71F9"/>
    <w:rsid w:val="00D24F71"/>
    <w:rsid w:val="00DA70DB"/>
    <w:rsid w:val="00DB7C2A"/>
    <w:rsid w:val="00E20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3E4641-D379-474F-B316-F0257506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2">
    <w:name w:val="heading 2"/>
    <w:basedOn w:val="Standard"/>
    <w:next w:val="Standard"/>
    <w:link w:val="berschrift2Zchn"/>
    <w:uiPriority w:val="9"/>
    <w:semiHidden/>
    <w:unhideWhenUsed/>
    <w:qFormat/>
    <w:rsid w:val="00DA70DB"/>
    <w:pPr>
      <w:keepNext/>
      <w:keepLines/>
      <w:spacing w:before="40" w:after="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semiHidden/>
    <w:unhideWhenUsed/>
    <w:qFormat/>
    <w:rsid w:val="001A4569"/>
    <w:pPr>
      <w:spacing w:after="75" w:line="240" w:lineRule="atLeast"/>
      <w:outlineLvl w:val="2"/>
    </w:pPr>
    <w:rPr>
      <w:rFonts w:ascii="Times New Roman" w:hAnsi="Times New Roman"/>
      <w:b/>
      <w:bCs/>
      <w:sz w:val="24"/>
      <w:szCs w:val="24"/>
      <w:lang w:eastAsia="de-DE"/>
    </w:rPr>
  </w:style>
  <w:style w:type="paragraph" w:styleId="berschrift4">
    <w:name w:val="heading 4"/>
    <w:basedOn w:val="Standard"/>
    <w:link w:val="berschrift4Zchn"/>
    <w:uiPriority w:val="9"/>
    <w:semiHidden/>
    <w:unhideWhenUsed/>
    <w:qFormat/>
    <w:rsid w:val="001A4569"/>
    <w:pPr>
      <w:spacing w:after="150" w:line="240" w:lineRule="auto"/>
      <w:outlineLvl w:val="3"/>
    </w:pPr>
    <w:rPr>
      <w:rFonts w:ascii="Times New Roman" w:hAnsi="Times New Roman"/>
      <w:color w:val="666666"/>
      <w:sz w:val="21"/>
      <w:szCs w:val="21"/>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DA70DB"/>
    <w:rPr>
      <w:rFonts w:asciiTheme="majorHAnsi" w:eastAsiaTheme="majorEastAsia" w:hAnsiTheme="majorHAnsi" w:cs="Times New Roman"/>
      <w:color w:val="2E74B5" w:themeColor="accent1" w:themeShade="BF"/>
      <w:sz w:val="26"/>
      <w:szCs w:val="26"/>
    </w:rPr>
  </w:style>
  <w:style w:type="character" w:customStyle="1" w:styleId="berschrift3Zchn">
    <w:name w:val="Überschrift 3 Zchn"/>
    <w:basedOn w:val="Absatz-Standardschriftart"/>
    <w:link w:val="berschrift3"/>
    <w:uiPriority w:val="9"/>
    <w:semiHidden/>
    <w:locked/>
    <w:rsid w:val="001A4569"/>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1A4569"/>
    <w:rPr>
      <w:rFonts w:ascii="Times New Roman" w:hAnsi="Times New Roman" w:cs="Times New Roman"/>
      <w:color w:val="666666"/>
      <w:sz w:val="21"/>
      <w:szCs w:val="21"/>
      <w:lang w:val="x-none" w:eastAsia="de-DE"/>
    </w:rPr>
  </w:style>
  <w:style w:type="paragraph" w:styleId="Kopfzeile">
    <w:name w:val="header"/>
    <w:basedOn w:val="Standard"/>
    <w:link w:val="KopfzeileZchn"/>
    <w:uiPriority w:val="99"/>
    <w:unhideWhenUsed/>
    <w:rsid w:val="008E3D44"/>
    <w:pPr>
      <w:tabs>
        <w:tab w:val="center" w:pos="4536"/>
        <w:tab w:val="right" w:pos="9072"/>
      </w:tabs>
      <w:spacing w:after="0" w:line="240" w:lineRule="auto"/>
    </w:pPr>
    <w:rPr>
      <w:rFonts w:ascii="Times New Roman" w:hAnsi="Times New Roman"/>
      <w:sz w:val="24"/>
      <w:szCs w:val="24"/>
      <w:lang w:eastAsia="de-DE"/>
    </w:rPr>
  </w:style>
  <w:style w:type="character" w:customStyle="1" w:styleId="KopfzeileZchn">
    <w:name w:val="Kopfzeile Zchn"/>
    <w:basedOn w:val="Absatz-Standardschriftart"/>
    <w:link w:val="Kopfzeile"/>
    <w:uiPriority w:val="99"/>
    <w:locked/>
    <w:rsid w:val="008E3D44"/>
    <w:rPr>
      <w:rFonts w:ascii="Times New Roman" w:hAnsi="Times New Roman" w:cs="Times New Roman"/>
      <w:sz w:val="24"/>
      <w:szCs w:val="24"/>
      <w:lang w:val="x-none" w:eastAsia="de-DE"/>
    </w:rPr>
  </w:style>
  <w:style w:type="paragraph" w:styleId="Fuzeile">
    <w:name w:val="footer"/>
    <w:basedOn w:val="Standard"/>
    <w:link w:val="FuzeileZchn"/>
    <w:uiPriority w:val="99"/>
    <w:unhideWhenUsed/>
    <w:rsid w:val="007948DC"/>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7948DC"/>
    <w:rPr>
      <w:rFonts w:cs="Times New Roman"/>
    </w:rPr>
  </w:style>
  <w:style w:type="character" w:styleId="Hyperlink">
    <w:name w:val="Hyperlink"/>
    <w:basedOn w:val="Absatz-Standardschriftart"/>
    <w:uiPriority w:val="99"/>
    <w:semiHidden/>
    <w:unhideWhenUsed/>
    <w:rsid w:val="00784651"/>
    <w:rPr>
      <w:rFonts w:cs="Times New Roman"/>
      <w:color w:val="0000FF"/>
      <w:u w:val="single"/>
    </w:rPr>
  </w:style>
  <w:style w:type="character" w:styleId="Fett">
    <w:name w:val="Strong"/>
    <w:basedOn w:val="Absatz-Standardschriftart"/>
    <w:uiPriority w:val="22"/>
    <w:qFormat/>
    <w:rsid w:val="00DA70DB"/>
    <w:rPr>
      <w:rFonts w:cs="Times New Roman"/>
      <w:b/>
      <w:bCs/>
    </w:rPr>
  </w:style>
  <w:style w:type="paragraph" w:styleId="StandardWeb">
    <w:name w:val="Normal (Web)"/>
    <w:basedOn w:val="Standard"/>
    <w:uiPriority w:val="99"/>
    <w:unhideWhenUsed/>
    <w:rsid w:val="00DA70DB"/>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10074">
      <w:marLeft w:val="0"/>
      <w:marRight w:val="0"/>
      <w:marTop w:val="0"/>
      <w:marBottom w:val="0"/>
      <w:divBdr>
        <w:top w:val="none" w:sz="0" w:space="0" w:color="auto"/>
        <w:left w:val="none" w:sz="0" w:space="0" w:color="auto"/>
        <w:bottom w:val="none" w:sz="0" w:space="0" w:color="auto"/>
        <w:right w:val="none" w:sz="0" w:space="0" w:color="auto"/>
      </w:divBdr>
      <w:divsChild>
        <w:div w:id="808210068">
          <w:marLeft w:val="0"/>
          <w:marRight w:val="0"/>
          <w:marTop w:val="0"/>
          <w:marBottom w:val="0"/>
          <w:divBdr>
            <w:top w:val="none" w:sz="0" w:space="0" w:color="auto"/>
            <w:left w:val="none" w:sz="0" w:space="0" w:color="auto"/>
            <w:bottom w:val="none" w:sz="0" w:space="0" w:color="auto"/>
            <w:right w:val="none" w:sz="0" w:space="0" w:color="auto"/>
          </w:divBdr>
          <w:divsChild>
            <w:div w:id="808210085">
              <w:marLeft w:val="0"/>
              <w:marRight w:val="0"/>
              <w:marTop w:val="0"/>
              <w:marBottom w:val="0"/>
              <w:divBdr>
                <w:top w:val="none" w:sz="0" w:space="0" w:color="auto"/>
                <w:left w:val="none" w:sz="0" w:space="0" w:color="auto"/>
                <w:bottom w:val="none" w:sz="0" w:space="0" w:color="auto"/>
                <w:right w:val="none" w:sz="0" w:space="0" w:color="auto"/>
              </w:divBdr>
              <w:divsChild>
                <w:div w:id="8082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094">
          <w:marLeft w:val="0"/>
          <w:marRight w:val="0"/>
          <w:marTop w:val="0"/>
          <w:marBottom w:val="0"/>
          <w:divBdr>
            <w:top w:val="none" w:sz="0" w:space="0" w:color="auto"/>
            <w:left w:val="none" w:sz="0" w:space="0" w:color="auto"/>
            <w:bottom w:val="none" w:sz="0" w:space="0" w:color="auto"/>
            <w:right w:val="none" w:sz="0" w:space="0" w:color="auto"/>
          </w:divBdr>
          <w:divsChild>
            <w:div w:id="808210090">
              <w:marLeft w:val="0"/>
              <w:marRight w:val="0"/>
              <w:marTop w:val="0"/>
              <w:marBottom w:val="0"/>
              <w:divBdr>
                <w:top w:val="none" w:sz="0" w:space="0" w:color="auto"/>
                <w:left w:val="none" w:sz="0" w:space="0" w:color="auto"/>
                <w:bottom w:val="none" w:sz="0" w:space="0" w:color="auto"/>
                <w:right w:val="none" w:sz="0" w:space="0" w:color="auto"/>
              </w:divBdr>
              <w:divsChild>
                <w:div w:id="808210107">
                  <w:marLeft w:val="-300"/>
                  <w:marRight w:val="0"/>
                  <w:marTop w:val="60"/>
                  <w:marBottom w:val="0"/>
                  <w:divBdr>
                    <w:top w:val="none" w:sz="0" w:space="0" w:color="auto"/>
                    <w:left w:val="none" w:sz="0" w:space="0" w:color="auto"/>
                    <w:bottom w:val="none" w:sz="0" w:space="0" w:color="auto"/>
                    <w:right w:val="none" w:sz="0" w:space="0" w:color="auto"/>
                  </w:divBdr>
                </w:div>
              </w:divsChild>
            </w:div>
            <w:div w:id="808210106">
              <w:marLeft w:val="0"/>
              <w:marRight w:val="0"/>
              <w:marTop w:val="0"/>
              <w:marBottom w:val="0"/>
              <w:divBdr>
                <w:top w:val="none" w:sz="0" w:space="0" w:color="auto"/>
                <w:left w:val="none" w:sz="0" w:space="0" w:color="auto"/>
                <w:bottom w:val="none" w:sz="0" w:space="0" w:color="auto"/>
                <w:right w:val="none" w:sz="0" w:space="0" w:color="auto"/>
              </w:divBdr>
              <w:divsChild>
                <w:div w:id="808210061">
                  <w:marLeft w:val="0"/>
                  <w:marRight w:val="0"/>
                  <w:marTop w:val="0"/>
                  <w:marBottom w:val="0"/>
                  <w:divBdr>
                    <w:top w:val="none" w:sz="0" w:space="0" w:color="auto"/>
                    <w:left w:val="none" w:sz="0" w:space="0" w:color="auto"/>
                    <w:bottom w:val="none" w:sz="0" w:space="0" w:color="auto"/>
                    <w:right w:val="none" w:sz="0" w:space="0" w:color="auto"/>
                  </w:divBdr>
                  <w:divsChild>
                    <w:div w:id="808210117">
                      <w:marLeft w:val="0"/>
                      <w:marRight w:val="0"/>
                      <w:marTop w:val="0"/>
                      <w:marBottom w:val="0"/>
                      <w:divBdr>
                        <w:top w:val="none" w:sz="0" w:space="0" w:color="auto"/>
                        <w:left w:val="none" w:sz="0" w:space="0" w:color="auto"/>
                        <w:bottom w:val="none" w:sz="0" w:space="0" w:color="auto"/>
                        <w:right w:val="none" w:sz="0" w:space="0" w:color="auto"/>
                      </w:divBdr>
                    </w:div>
                  </w:divsChild>
                </w:div>
                <w:div w:id="8082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127">
          <w:marLeft w:val="0"/>
          <w:marRight w:val="0"/>
          <w:marTop w:val="0"/>
          <w:marBottom w:val="0"/>
          <w:divBdr>
            <w:top w:val="none" w:sz="0" w:space="0" w:color="auto"/>
            <w:left w:val="none" w:sz="0" w:space="0" w:color="auto"/>
            <w:bottom w:val="none" w:sz="0" w:space="0" w:color="auto"/>
            <w:right w:val="none" w:sz="0" w:space="0" w:color="auto"/>
          </w:divBdr>
        </w:div>
      </w:divsChild>
    </w:div>
    <w:div w:id="808210086">
      <w:marLeft w:val="0"/>
      <w:marRight w:val="0"/>
      <w:marTop w:val="0"/>
      <w:marBottom w:val="0"/>
      <w:divBdr>
        <w:top w:val="none" w:sz="0" w:space="0" w:color="auto"/>
        <w:left w:val="none" w:sz="0" w:space="0" w:color="auto"/>
        <w:bottom w:val="none" w:sz="0" w:space="0" w:color="auto"/>
        <w:right w:val="none" w:sz="0" w:space="0" w:color="auto"/>
      </w:divBdr>
      <w:divsChild>
        <w:div w:id="808210060">
          <w:marLeft w:val="0"/>
          <w:marRight w:val="0"/>
          <w:marTop w:val="0"/>
          <w:marBottom w:val="0"/>
          <w:divBdr>
            <w:top w:val="none" w:sz="0" w:space="0" w:color="auto"/>
            <w:left w:val="none" w:sz="0" w:space="0" w:color="auto"/>
            <w:bottom w:val="none" w:sz="0" w:space="0" w:color="auto"/>
            <w:right w:val="none" w:sz="0" w:space="0" w:color="auto"/>
          </w:divBdr>
          <w:divsChild>
            <w:div w:id="808210075">
              <w:marLeft w:val="0"/>
              <w:marRight w:val="0"/>
              <w:marTop w:val="0"/>
              <w:marBottom w:val="0"/>
              <w:divBdr>
                <w:top w:val="none" w:sz="0" w:space="0" w:color="auto"/>
                <w:left w:val="none" w:sz="0" w:space="0" w:color="auto"/>
                <w:bottom w:val="none" w:sz="0" w:space="0" w:color="auto"/>
                <w:right w:val="none" w:sz="0" w:space="0" w:color="auto"/>
              </w:divBdr>
              <w:divsChild>
                <w:div w:id="808210097">
                  <w:marLeft w:val="0"/>
                  <w:marRight w:val="0"/>
                  <w:marTop w:val="0"/>
                  <w:marBottom w:val="0"/>
                  <w:divBdr>
                    <w:top w:val="none" w:sz="0" w:space="0" w:color="auto"/>
                    <w:left w:val="none" w:sz="0" w:space="0" w:color="auto"/>
                    <w:bottom w:val="none" w:sz="0" w:space="0" w:color="auto"/>
                    <w:right w:val="none" w:sz="0" w:space="0" w:color="auto"/>
                  </w:divBdr>
                </w:div>
                <w:div w:id="808210110">
                  <w:marLeft w:val="0"/>
                  <w:marRight w:val="0"/>
                  <w:marTop w:val="0"/>
                  <w:marBottom w:val="0"/>
                  <w:divBdr>
                    <w:top w:val="none" w:sz="0" w:space="0" w:color="auto"/>
                    <w:left w:val="none" w:sz="0" w:space="0" w:color="auto"/>
                    <w:bottom w:val="none" w:sz="0" w:space="0" w:color="auto"/>
                    <w:right w:val="none" w:sz="0" w:space="0" w:color="auto"/>
                  </w:divBdr>
                  <w:divsChild>
                    <w:div w:id="8082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077">
              <w:marLeft w:val="0"/>
              <w:marRight w:val="0"/>
              <w:marTop w:val="0"/>
              <w:marBottom w:val="0"/>
              <w:divBdr>
                <w:top w:val="none" w:sz="0" w:space="0" w:color="auto"/>
                <w:left w:val="none" w:sz="0" w:space="0" w:color="auto"/>
                <w:bottom w:val="none" w:sz="0" w:space="0" w:color="auto"/>
                <w:right w:val="none" w:sz="0" w:space="0" w:color="auto"/>
              </w:divBdr>
              <w:divsChild>
                <w:div w:id="808210087">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808210083">
          <w:marLeft w:val="0"/>
          <w:marRight w:val="0"/>
          <w:marTop w:val="0"/>
          <w:marBottom w:val="0"/>
          <w:divBdr>
            <w:top w:val="none" w:sz="0" w:space="0" w:color="auto"/>
            <w:left w:val="none" w:sz="0" w:space="0" w:color="auto"/>
            <w:bottom w:val="none" w:sz="0" w:space="0" w:color="auto"/>
            <w:right w:val="none" w:sz="0" w:space="0" w:color="auto"/>
          </w:divBdr>
          <w:divsChild>
            <w:div w:id="808210123">
              <w:marLeft w:val="0"/>
              <w:marRight w:val="0"/>
              <w:marTop w:val="0"/>
              <w:marBottom w:val="0"/>
              <w:divBdr>
                <w:top w:val="none" w:sz="0" w:space="0" w:color="auto"/>
                <w:left w:val="none" w:sz="0" w:space="0" w:color="auto"/>
                <w:bottom w:val="none" w:sz="0" w:space="0" w:color="auto"/>
                <w:right w:val="none" w:sz="0" w:space="0" w:color="auto"/>
              </w:divBdr>
              <w:divsChild>
                <w:div w:id="80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109">
          <w:marLeft w:val="0"/>
          <w:marRight w:val="0"/>
          <w:marTop w:val="0"/>
          <w:marBottom w:val="0"/>
          <w:divBdr>
            <w:top w:val="none" w:sz="0" w:space="0" w:color="auto"/>
            <w:left w:val="none" w:sz="0" w:space="0" w:color="auto"/>
            <w:bottom w:val="none" w:sz="0" w:space="0" w:color="auto"/>
            <w:right w:val="none" w:sz="0" w:space="0" w:color="auto"/>
          </w:divBdr>
        </w:div>
      </w:divsChild>
    </w:div>
    <w:div w:id="808210096">
      <w:marLeft w:val="0"/>
      <w:marRight w:val="0"/>
      <w:marTop w:val="0"/>
      <w:marBottom w:val="0"/>
      <w:divBdr>
        <w:top w:val="none" w:sz="0" w:space="0" w:color="auto"/>
        <w:left w:val="none" w:sz="0" w:space="0" w:color="auto"/>
        <w:bottom w:val="none" w:sz="0" w:space="0" w:color="auto"/>
        <w:right w:val="none" w:sz="0" w:space="0" w:color="auto"/>
      </w:divBdr>
      <w:divsChild>
        <w:div w:id="808210065">
          <w:marLeft w:val="0"/>
          <w:marRight w:val="0"/>
          <w:marTop w:val="0"/>
          <w:marBottom w:val="0"/>
          <w:divBdr>
            <w:top w:val="none" w:sz="0" w:space="0" w:color="auto"/>
            <w:left w:val="none" w:sz="0" w:space="0" w:color="auto"/>
            <w:bottom w:val="none" w:sz="0" w:space="0" w:color="auto"/>
            <w:right w:val="none" w:sz="0" w:space="0" w:color="auto"/>
          </w:divBdr>
        </w:div>
        <w:div w:id="808210108">
          <w:marLeft w:val="0"/>
          <w:marRight w:val="0"/>
          <w:marTop w:val="0"/>
          <w:marBottom w:val="0"/>
          <w:divBdr>
            <w:top w:val="none" w:sz="0" w:space="0" w:color="auto"/>
            <w:left w:val="none" w:sz="0" w:space="0" w:color="auto"/>
            <w:bottom w:val="none" w:sz="0" w:space="0" w:color="auto"/>
            <w:right w:val="none" w:sz="0" w:space="0" w:color="auto"/>
          </w:divBdr>
          <w:divsChild>
            <w:div w:id="808210057">
              <w:marLeft w:val="0"/>
              <w:marRight w:val="0"/>
              <w:marTop w:val="0"/>
              <w:marBottom w:val="0"/>
              <w:divBdr>
                <w:top w:val="none" w:sz="0" w:space="0" w:color="auto"/>
                <w:left w:val="none" w:sz="0" w:space="0" w:color="auto"/>
                <w:bottom w:val="none" w:sz="0" w:space="0" w:color="auto"/>
                <w:right w:val="none" w:sz="0" w:space="0" w:color="auto"/>
              </w:divBdr>
              <w:divsChild>
                <w:div w:id="808210088">
                  <w:marLeft w:val="0"/>
                  <w:marRight w:val="0"/>
                  <w:marTop w:val="0"/>
                  <w:marBottom w:val="0"/>
                  <w:divBdr>
                    <w:top w:val="none" w:sz="0" w:space="0" w:color="auto"/>
                    <w:left w:val="none" w:sz="0" w:space="0" w:color="auto"/>
                    <w:bottom w:val="none" w:sz="0" w:space="0" w:color="auto"/>
                    <w:right w:val="none" w:sz="0" w:space="0" w:color="auto"/>
                  </w:divBdr>
                  <w:divsChild>
                    <w:div w:id="808210073">
                      <w:marLeft w:val="0"/>
                      <w:marRight w:val="0"/>
                      <w:marTop w:val="0"/>
                      <w:marBottom w:val="0"/>
                      <w:divBdr>
                        <w:top w:val="none" w:sz="0" w:space="0" w:color="auto"/>
                        <w:left w:val="none" w:sz="0" w:space="0" w:color="auto"/>
                        <w:bottom w:val="none" w:sz="0" w:space="0" w:color="auto"/>
                        <w:right w:val="none" w:sz="0" w:space="0" w:color="auto"/>
                      </w:divBdr>
                    </w:div>
                  </w:divsChild>
                </w:div>
                <w:div w:id="808210089">
                  <w:marLeft w:val="0"/>
                  <w:marRight w:val="0"/>
                  <w:marTop w:val="0"/>
                  <w:marBottom w:val="0"/>
                  <w:divBdr>
                    <w:top w:val="none" w:sz="0" w:space="0" w:color="auto"/>
                    <w:left w:val="none" w:sz="0" w:space="0" w:color="auto"/>
                    <w:bottom w:val="none" w:sz="0" w:space="0" w:color="auto"/>
                    <w:right w:val="none" w:sz="0" w:space="0" w:color="auto"/>
                  </w:divBdr>
                </w:div>
              </w:divsChild>
            </w:div>
            <w:div w:id="808210079">
              <w:marLeft w:val="0"/>
              <w:marRight w:val="0"/>
              <w:marTop w:val="0"/>
              <w:marBottom w:val="0"/>
              <w:divBdr>
                <w:top w:val="none" w:sz="0" w:space="0" w:color="auto"/>
                <w:left w:val="none" w:sz="0" w:space="0" w:color="auto"/>
                <w:bottom w:val="none" w:sz="0" w:space="0" w:color="auto"/>
                <w:right w:val="none" w:sz="0" w:space="0" w:color="auto"/>
              </w:divBdr>
              <w:divsChild>
                <w:div w:id="808210067">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808210113">
          <w:marLeft w:val="0"/>
          <w:marRight w:val="0"/>
          <w:marTop w:val="0"/>
          <w:marBottom w:val="0"/>
          <w:divBdr>
            <w:top w:val="none" w:sz="0" w:space="0" w:color="auto"/>
            <w:left w:val="none" w:sz="0" w:space="0" w:color="auto"/>
            <w:bottom w:val="none" w:sz="0" w:space="0" w:color="auto"/>
            <w:right w:val="none" w:sz="0" w:space="0" w:color="auto"/>
          </w:divBdr>
          <w:divsChild>
            <w:div w:id="808210084">
              <w:marLeft w:val="0"/>
              <w:marRight w:val="0"/>
              <w:marTop w:val="0"/>
              <w:marBottom w:val="0"/>
              <w:divBdr>
                <w:top w:val="none" w:sz="0" w:space="0" w:color="auto"/>
                <w:left w:val="none" w:sz="0" w:space="0" w:color="auto"/>
                <w:bottom w:val="none" w:sz="0" w:space="0" w:color="auto"/>
                <w:right w:val="none" w:sz="0" w:space="0" w:color="auto"/>
              </w:divBdr>
              <w:divsChild>
                <w:div w:id="8082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10099">
      <w:marLeft w:val="0"/>
      <w:marRight w:val="0"/>
      <w:marTop w:val="0"/>
      <w:marBottom w:val="0"/>
      <w:divBdr>
        <w:top w:val="none" w:sz="0" w:space="0" w:color="auto"/>
        <w:left w:val="none" w:sz="0" w:space="0" w:color="auto"/>
        <w:bottom w:val="none" w:sz="0" w:space="0" w:color="auto"/>
        <w:right w:val="none" w:sz="0" w:space="0" w:color="auto"/>
      </w:divBdr>
    </w:div>
    <w:div w:id="808210100">
      <w:marLeft w:val="0"/>
      <w:marRight w:val="0"/>
      <w:marTop w:val="0"/>
      <w:marBottom w:val="0"/>
      <w:divBdr>
        <w:top w:val="none" w:sz="0" w:space="0" w:color="auto"/>
        <w:left w:val="none" w:sz="0" w:space="0" w:color="auto"/>
        <w:bottom w:val="none" w:sz="0" w:space="0" w:color="auto"/>
        <w:right w:val="none" w:sz="0" w:space="0" w:color="auto"/>
      </w:divBdr>
    </w:div>
    <w:div w:id="808210101">
      <w:marLeft w:val="0"/>
      <w:marRight w:val="0"/>
      <w:marTop w:val="0"/>
      <w:marBottom w:val="0"/>
      <w:divBdr>
        <w:top w:val="none" w:sz="0" w:space="0" w:color="auto"/>
        <w:left w:val="none" w:sz="0" w:space="0" w:color="auto"/>
        <w:bottom w:val="none" w:sz="0" w:space="0" w:color="auto"/>
        <w:right w:val="none" w:sz="0" w:space="0" w:color="auto"/>
      </w:divBdr>
    </w:div>
    <w:div w:id="808210112">
      <w:marLeft w:val="0"/>
      <w:marRight w:val="0"/>
      <w:marTop w:val="0"/>
      <w:marBottom w:val="0"/>
      <w:divBdr>
        <w:top w:val="none" w:sz="0" w:space="0" w:color="auto"/>
        <w:left w:val="none" w:sz="0" w:space="0" w:color="auto"/>
        <w:bottom w:val="none" w:sz="0" w:space="0" w:color="auto"/>
        <w:right w:val="none" w:sz="0" w:space="0" w:color="auto"/>
      </w:divBdr>
      <w:divsChild>
        <w:div w:id="808210063">
          <w:marLeft w:val="0"/>
          <w:marRight w:val="0"/>
          <w:marTop w:val="0"/>
          <w:marBottom w:val="0"/>
          <w:divBdr>
            <w:top w:val="none" w:sz="0" w:space="0" w:color="auto"/>
            <w:left w:val="none" w:sz="0" w:space="0" w:color="auto"/>
            <w:bottom w:val="none" w:sz="0" w:space="0" w:color="auto"/>
            <w:right w:val="none" w:sz="0" w:space="0" w:color="auto"/>
          </w:divBdr>
          <w:divsChild>
            <w:div w:id="808210091">
              <w:marLeft w:val="0"/>
              <w:marRight w:val="0"/>
              <w:marTop w:val="0"/>
              <w:marBottom w:val="0"/>
              <w:divBdr>
                <w:top w:val="none" w:sz="0" w:space="0" w:color="auto"/>
                <w:left w:val="none" w:sz="0" w:space="0" w:color="auto"/>
                <w:bottom w:val="none" w:sz="0" w:space="0" w:color="auto"/>
                <w:right w:val="none" w:sz="0" w:space="0" w:color="auto"/>
              </w:divBdr>
              <w:divsChild>
                <w:div w:id="808210062">
                  <w:marLeft w:val="0"/>
                  <w:marRight w:val="0"/>
                  <w:marTop w:val="0"/>
                  <w:marBottom w:val="0"/>
                  <w:divBdr>
                    <w:top w:val="none" w:sz="0" w:space="0" w:color="auto"/>
                    <w:left w:val="none" w:sz="0" w:space="0" w:color="auto"/>
                    <w:bottom w:val="none" w:sz="0" w:space="0" w:color="auto"/>
                    <w:right w:val="none" w:sz="0" w:space="0" w:color="auto"/>
                  </w:divBdr>
                  <w:divsChild>
                    <w:div w:id="808210120">
                      <w:marLeft w:val="0"/>
                      <w:marRight w:val="0"/>
                      <w:marTop w:val="0"/>
                      <w:marBottom w:val="0"/>
                      <w:divBdr>
                        <w:top w:val="none" w:sz="0" w:space="0" w:color="auto"/>
                        <w:left w:val="none" w:sz="0" w:space="0" w:color="auto"/>
                        <w:bottom w:val="none" w:sz="0" w:space="0" w:color="auto"/>
                        <w:right w:val="none" w:sz="0" w:space="0" w:color="auto"/>
                      </w:divBdr>
                    </w:div>
                  </w:divsChild>
                </w:div>
                <w:div w:id="8082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082">
          <w:marLeft w:val="0"/>
          <w:marRight w:val="0"/>
          <w:marTop w:val="0"/>
          <w:marBottom w:val="0"/>
          <w:divBdr>
            <w:top w:val="none" w:sz="0" w:space="0" w:color="auto"/>
            <w:left w:val="none" w:sz="0" w:space="0" w:color="auto"/>
            <w:bottom w:val="none" w:sz="0" w:space="0" w:color="auto"/>
            <w:right w:val="none" w:sz="0" w:space="0" w:color="auto"/>
          </w:divBdr>
          <w:divsChild>
            <w:div w:id="808210071">
              <w:marLeft w:val="0"/>
              <w:marRight w:val="0"/>
              <w:marTop w:val="0"/>
              <w:marBottom w:val="0"/>
              <w:divBdr>
                <w:top w:val="none" w:sz="0" w:space="0" w:color="auto"/>
                <w:left w:val="none" w:sz="0" w:space="0" w:color="auto"/>
                <w:bottom w:val="none" w:sz="0" w:space="0" w:color="auto"/>
                <w:right w:val="none" w:sz="0" w:space="0" w:color="auto"/>
              </w:divBdr>
              <w:divsChild>
                <w:div w:id="8082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092">
          <w:marLeft w:val="0"/>
          <w:marRight w:val="0"/>
          <w:marTop w:val="0"/>
          <w:marBottom w:val="0"/>
          <w:divBdr>
            <w:top w:val="none" w:sz="0" w:space="0" w:color="auto"/>
            <w:left w:val="none" w:sz="0" w:space="0" w:color="auto"/>
            <w:bottom w:val="none" w:sz="0" w:space="0" w:color="auto"/>
            <w:right w:val="none" w:sz="0" w:space="0" w:color="auto"/>
          </w:divBdr>
        </w:div>
      </w:divsChild>
    </w:div>
    <w:div w:id="808210115">
      <w:marLeft w:val="0"/>
      <w:marRight w:val="0"/>
      <w:marTop w:val="0"/>
      <w:marBottom w:val="0"/>
      <w:divBdr>
        <w:top w:val="none" w:sz="0" w:space="0" w:color="auto"/>
        <w:left w:val="none" w:sz="0" w:space="0" w:color="auto"/>
        <w:bottom w:val="none" w:sz="0" w:space="0" w:color="auto"/>
        <w:right w:val="none" w:sz="0" w:space="0" w:color="auto"/>
      </w:divBdr>
      <w:divsChild>
        <w:div w:id="808210102">
          <w:marLeft w:val="0"/>
          <w:marRight w:val="0"/>
          <w:marTop w:val="0"/>
          <w:marBottom w:val="0"/>
          <w:divBdr>
            <w:top w:val="none" w:sz="0" w:space="0" w:color="auto"/>
            <w:left w:val="none" w:sz="0" w:space="0" w:color="auto"/>
            <w:bottom w:val="none" w:sz="0" w:space="0" w:color="auto"/>
            <w:right w:val="none" w:sz="0" w:space="0" w:color="auto"/>
          </w:divBdr>
          <w:divsChild>
            <w:div w:id="808210066">
              <w:marLeft w:val="0"/>
              <w:marRight w:val="0"/>
              <w:marTop w:val="0"/>
              <w:marBottom w:val="0"/>
              <w:divBdr>
                <w:top w:val="none" w:sz="0" w:space="0" w:color="auto"/>
                <w:left w:val="none" w:sz="0" w:space="0" w:color="auto"/>
                <w:bottom w:val="none" w:sz="0" w:space="0" w:color="auto"/>
                <w:right w:val="none" w:sz="0" w:space="0" w:color="auto"/>
              </w:divBdr>
              <w:divsChild>
                <w:div w:id="808210118">
                  <w:marLeft w:val="-300"/>
                  <w:marRight w:val="0"/>
                  <w:marTop w:val="60"/>
                  <w:marBottom w:val="0"/>
                  <w:divBdr>
                    <w:top w:val="none" w:sz="0" w:space="0" w:color="auto"/>
                    <w:left w:val="none" w:sz="0" w:space="0" w:color="auto"/>
                    <w:bottom w:val="none" w:sz="0" w:space="0" w:color="auto"/>
                    <w:right w:val="none" w:sz="0" w:space="0" w:color="auto"/>
                  </w:divBdr>
                </w:div>
              </w:divsChild>
            </w:div>
            <w:div w:id="808210111">
              <w:marLeft w:val="0"/>
              <w:marRight w:val="0"/>
              <w:marTop w:val="0"/>
              <w:marBottom w:val="0"/>
              <w:divBdr>
                <w:top w:val="none" w:sz="0" w:space="0" w:color="auto"/>
                <w:left w:val="none" w:sz="0" w:space="0" w:color="auto"/>
                <w:bottom w:val="none" w:sz="0" w:space="0" w:color="auto"/>
                <w:right w:val="none" w:sz="0" w:space="0" w:color="auto"/>
              </w:divBdr>
              <w:divsChild>
                <w:div w:id="808210058">
                  <w:marLeft w:val="0"/>
                  <w:marRight w:val="0"/>
                  <w:marTop w:val="0"/>
                  <w:marBottom w:val="0"/>
                  <w:divBdr>
                    <w:top w:val="none" w:sz="0" w:space="0" w:color="auto"/>
                    <w:left w:val="none" w:sz="0" w:space="0" w:color="auto"/>
                    <w:bottom w:val="none" w:sz="0" w:space="0" w:color="auto"/>
                    <w:right w:val="none" w:sz="0" w:space="0" w:color="auto"/>
                  </w:divBdr>
                  <w:divsChild>
                    <w:div w:id="808210125">
                      <w:marLeft w:val="0"/>
                      <w:marRight w:val="0"/>
                      <w:marTop w:val="0"/>
                      <w:marBottom w:val="0"/>
                      <w:divBdr>
                        <w:top w:val="none" w:sz="0" w:space="0" w:color="auto"/>
                        <w:left w:val="none" w:sz="0" w:space="0" w:color="auto"/>
                        <w:bottom w:val="none" w:sz="0" w:space="0" w:color="auto"/>
                        <w:right w:val="none" w:sz="0" w:space="0" w:color="auto"/>
                      </w:divBdr>
                    </w:div>
                  </w:divsChild>
                </w:div>
                <w:div w:id="8082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116">
          <w:marLeft w:val="0"/>
          <w:marRight w:val="0"/>
          <w:marTop w:val="0"/>
          <w:marBottom w:val="0"/>
          <w:divBdr>
            <w:top w:val="none" w:sz="0" w:space="0" w:color="auto"/>
            <w:left w:val="none" w:sz="0" w:space="0" w:color="auto"/>
            <w:bottom w:val="none" w:sz="0" w:space="0" w:color="auto"/>
            <w:right w:val="none" w:sz="0" w:space="0" w:color="auto"/>
          </w:divBdr>
          <w:divsChild>
            <w:div w:id="808210081">
              <w:marLeft w:val="0"/>
              <w:marRight w:val="0"/>
              <w:marTop w:val="0"/>
              <w:marBottom w:val="0"/>
              <w:divBdr>
                <w:top w:val="none" w:sz="0" w:space="0" w:color="auto"/>
                <w:left w:val="none" w:sz="0" w:space="0" w:color="auto"/>
                <w:bottom w:val="none" w:sz="0" w:space="0" w:color="auto"/>
                <w:right w:val="none" w:sz="0" w:space="0" w:color="auto"/>
              </w:divBdr>
              <w:divsChild>
                <w:div w:id="8082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126">
          <w:marLeft w:val="0"/>
          <w:marRight w:val="0"/>
          <w:marTop w:val="0"/>
          <w:marBottom w:val="0"/>
          <w:divBdr>
            <w:top w:val="none" w:sz="0" w:space="0" w:color="auto"/>
            <w:left w:val="none" w:sz="0" w:space="0" w:color="auto"/>
            <w:bottom w:val="none" w:sz="0" w:space="0" w:color="auto"/>
            <w:right w:val="none" w:sz="0" w:space="0" w:color="auto"/>
          </w:divBdr>
        </w:div>
      </w:divsChild>
    </w:div>
    <w:div w:id="808210122">
      <w:marLeft w:val="0"/>
      <w:marRight w:val="0"/>
      <w:marTop w:val="0"/>
      <w:marBottom w:val="0"/>
      <w:divBdr>
        <w:top w:val="none" w:sz="0" w:space="0" w:color="auto"/>
        <w:left w:val="none" w:sz="0" w:space="0" w:color="auto"/>
        <w:bottom w:val="none" w:sz="0" w:space="0" w:color="auto"/>
        <w:right w:val="none" w:sz="0" w:space="0" w:color="auto"/>
      </w:divBdr>
      <w:divsChild>
        <w:div w:id="808210069">
          <w:marLeft w:val="0"/>
          <w:marRight w:val="0"/>
          <w:marTop w:val="0"/>
          <w:marBottom w:val="0"/>
          <w:divBdr>
            <w:top w:val="none" w:sz="0" w:space="0" w:color="auto"/>
            <w:left w:val="none" w:sz="0" w:space="0" w:color="auto"/>
            <w:bottom w:val="none" w:sz="0" w:space="0" w:color="auto"/>
            <w:right w:val="none" w:sz="0" w:space="0" w:color="auto"/>
          </w:divBdr>
        </w:div>
        <w:div w:id="808210093">
          <w:marLeft w:val="0"/>
          <w:marRight w:val="0"/>
          <w:marTop w:val="0"/>
          <w:marBottom w:val="0"/>
          <w:divBdr>
            <w:top w:val="none" w:sz="0" w:space="0" w:color="auto"/>
            <w:left w:val="none" w:sz="0" w:space="0" w:color="auto"/>
            <w:bottom w:val="none" w:sz="0" w:space="0" w:color="auto"/>
            <w:right w:val="none" w:sz="0" w:space="0" w:color="auto"/>
          </w:divBdr>
          <w:divsChild>
            <w:div w:id="808210076">
              <w:marLeft w:val="0"/>
              <w:marRight w:val="0"/>
              <w:marTop w:val="0"/>
              <w:marBottom w:val="0"/>
              <w:divBdr>
                <w:top w:val="none" w:sz="0" w:space="0" w:color="auto"/>
                <w:left w:val="none" w:sz="0" w:space="0" w:color="auto"/>
                <w:bottom w:val="none" w:sz="0" w:space="0" w:color="auto"/>
                <w:right w:val="none" w:sz="0" w:space="0" w:color="auto"/>
              </w:divBdr>
              <w:divsChild>
                <w:div w:id="808210070">
                  <w:marLeft w:val="0"/>
                  <w:marRight w:val="0"/>
                  <w:marTop w:val="0"/>
                  <w:marBottom w:val="0"/>
                  <w:divBdr>
                    <w:top w:val="none" w:sz="0" w:space="0" w:color="auto"/>
                    <w:left w:val="none" w:sz="0" w:space="0" w:color="auto"/>
                    <w:bottom w:val="none" w:sz="0" w:space="0" w:color="auto"/>
                    <w:right w:val="none" w:sz="0" w:space="0" w:color="auto"/>
                  </w:divBdr>
                  <w:divsChild>
                    <w:div w:id="808210059">
                      <w:marLeft w:val="0"/>
                      <w:marRight w:val="0"/>
                      <w:marTop w:val="0"/>
                      <w:marBottom w:val="0"/>
                      <w:divBdr>
                        <w:top w:val="none" w:sz="0" w:space="0" w:color="auto"/>
                        <w:left w:val="none" w:sz="0" w:space="0" w:color="auto"/>
                        <w:bottom w:val="none" w:sz="0" w:space="0" w:color="auto"/>
                        <w:right w:val="none" w:sz="0" w:space="0" w:color="auto"/>
                      </w:divBdr>
                    </w:div>
                  </w:divsChild>
                </w:div>
                <w:div w:id="8082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119">
          <w:marLeft w:val="0"/>
          <w:marRight w:val="0"/>
          <w:marTop w:val="0"/>
          <w:marBottom w:val="0"/>
          <w:divBdr>
            <w:top w:val="none" w:sz="0" w:space="0" w:color="auto"/>
            <w:left w:val="none" w:sz="0" w:space="0" w:color="auto"/>
            <w:bottom w:val="none" w:sz="0" w:space="0" w:color="auto"/>
            <w:right w:val="none" w:sz="0" w:space="0" w:color="auto"/>
          </w:divBdr>
          <w:divsChild>
            <w:div w:id="808210095">
              <w:marLeft w:val="0"/>
              <w:marRight w:val="0"/>
              <w:marTop w:val="0"/>
              <w:marBottom w:val="0"/>
              <w:divBdr>
                <w:top w:val="none" w:sz="0" w:space="0" w:color="auto"/>
                <w:left w:val="none" w:sz="0" w:space="0" w:color="auto"/>
                <w:bottom w:val="none" w:sz="0" w:space="0" w:color="auto"/>
                <w:right w:val="none" w:sz="0" w:space="0" w:color="auto"/>
              </w:divBdr>
              <w:divsChild>
                <w:div w:id="8082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jportal/portal/t/xp0/page/jurisw.psml?pid=Dokumentanzeige&amp;showdoccase=1&amp;js_peid=Trefferliste&amp;documentnumber=12&amp;numberofresults=4494&amp;fromdoctodoc=yes&amp;doc.id=BJNR263110007BJNE014500000&amp;doc.part=S&amp;doc.price=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ris.de/jportal/portal/t/xl7/page/jurisw.psml?pid=Dokumentanzeige&amp;showdoccase=1&amp;js_peid=Trefferliste&amp;documentnumber=5&amp;numberofresults=572&amp;fromdoctodoc=yes&amp;doc.id=BJNR001950896BJNE023502377&amp;doc.part=S&amp;doc.price=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rbw.juris.de/cgi-bin/laender_rechtsprechung/document.py?Gericht=bw&amp;GerichtAuswahl=Arbeitsgerichte&amp;Art=en&amp;Datum=2017&amp;Seite=0&amp;nr=22736&amp;pos=0&amp;anz=38" TargetMode="External"/><Relationship Id="rId4" Type="http://schemas.openxmlformats.org/officeDocument/2006/relationships/webSettings" Target="webSettings.xml"/><Relationship Id="rId9" Type="http://schemas.openxmlformats.org/officeDocument/2006/relationships/hyperlink" Target="https://www.juris.de/jportal/portal/t/xp0/page/jurisw.psml?pid=Dokumentanzeige&amp;showdoccase=1&amp;js_peid=Trefferliste&amp;documentnumber=12&amp;numberofresults=4494&amp;fromdoctodoc=yes&amp;doc.id=BJNR001950896BJNE023502377&amp;doc.part=S&amp;doc.price=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C7B3CE64.dotm</Template>
  <TotalTime>0</TotalTime>
  <Pages>3</Pages>
  <Words>1178</Words>
  <Characters>7427</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2017-10-02T06:50:00Z</dcterms:created>
  <dcterms:modified xsi:type="dcterms:W3CDTF">2017-10-02T06:50:00Z</dcterms:modified>
</cp:coreProperties>
</file>