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9F" w:rsidRPr="00083B9F" w:rsidRDefault="00083B9F" w:rsidP="00083B9F">
      <w:pPr>
        <w:tabs>
          <w:tab w:val="center" w:pos="4536"/>
          <w:tab w:val="right" w:pos="9072"/>
        </w:tabs>
        <w:spacing w:after="0" w:line="240" w:lineRule="auto"/>
        <w:jc w:val="right"/>
        <w:rPr>
          <w:rFonts w:ascii="Arial" w:hAnsi="Arial" w:cs="Arial"/>
        </w:rPr>
      </w:pPr>
      <w:r w:rsidRPr="00083B9F">
        <w:rPr>
          <w:rFonts w:ascii="Arial" w:hAnsi="Arial" w:cs="Arial"/>
          <w:b/>
          <w:bCs/>
          <w:sz w:val="40"/>
          <w:szCs w:val="40"/>
        </w:rPr>
        <w:t>DASV</w:t>
      </w:r>
    </w:p>
    <w:p w:rsidR="00083B9F" w:rsidRPr="00083B9F" w:rsidRDefault="00083B9F" w:rsidP="00083B9F">
      <w:pPr>
        <w:spacing w:after="0" w:line="240" w:lineRule="auto"/>
        <w:jc w:val="right"/>
        <w:rPr>
          <w:rFonts w:ascii="Arial" w:hAnsi="Arial" w:cs="Arial"/>
          <w:sz w:val="20"/>
          <w:szCs w:val="20"/>
        </w:rPr>
      </w:pPr>
      <w:bookmarkStart w:id="0" w:name="2"/>
      <w:bookmarkStart w:id="1" w:name="9"/>
      <w:bookmarkEnd w:id="0"/>
      <w:bookmarkEnd w:id="1"/>
      <w:r w:rsidRPr="00083B9F">
        <w:rPr>
          <w:rFonts w:ascii="Arial" w:hAnsi="Arial" w:cs="Arial"/>
          <w:sz w:val="20"/>
          <w:szCs w:val="20"/>
        </w:rPr>
        <w:t>Deutsche Anwalts- und</w:t>
      </w:r>
    </w:p>
    <w:p w:rsidR="00083B9F" w:rsidRPr="00083B9F" w:rsidRDefault="00083B9F" w:rsidP="00083B9F">
      <w:pPr>
        <w:spacing w:after="0" w:line="240" w:lineRule="auto"/>
        <w:jc w:val="right"/>
        <w:rPr>
          <w:rFonts w:ascii="Arial" w:hAnsi="Arial" w:cs="Arial"/>
          <w:sz w:val="20"/>
          <w:szCs w:val="20"/>
        </w:rPr>
      </w:pPr>
      <w:r w:rsidRPr="00083B9F">
        <w:rPr>
          <w:rFonts w:ascii="Arial" w:hAnsi="Arial" w:cs="Arial"/>
          <w:sz w:val="20"/>
          <w:szCs w:val="20"/>
        </w:rPr>
        <w:t>Steuerberatervereinigung</w:t>
      </w:r>
    </w:p>
    <w:p w:rsidR="00083B9F" w:rsidRPr="00083B9F" w:rsidRDefault="00083B9F" w:rsidP="00083B9F">
      <w:pPr>
        <w:spacing w:after="0" w:line="240" w:lineRule="auto"/>
        <w:jc w:val="right"/>
        <w:rPr>
          <w:rFonts w:ascii="Arial" w:hAnsi="Arial" w:cs="Arial"/>
          <w:sz w:val="20"/>
          <w:szCs w:val="20"/>
        </w:rPr>
      </w:pPr>
      <w:r w:rsidRPr="00083B9F">
        <w:rPr>
          <w:rFonts w:ascii="Arial" w:hAnsi="Arial" w:cs="Arial"/>
          <w:sz w:val="20"/>
          <w:szCs w:val="20"/>
        </w:rPr>
        <w:t>für die mittelständische</w:t>
      </w:r>
    </w:p>
    <w:p w:rsidR="00083B9F" w:rsidRPr="00083B9F" w:rsidRDefault="00083B9F" w:rsidP="00083B9F">
      <w:pPr>
        <w:spacing w:after="0" w:line="360" w:lineRule="auto"/>
        <w:jc w:val="right"/>
        <w:rPr>
          <w:rFonts w:ascii="Arial" w:hAnsi="Arial" w:cs="Arial"/>
          <w:sz w:val="20"/>
          <w:szCs w:val="20"/>
        </w:rPr>
      </w:pPr>
      <w:r w:rsidRPr="00083B9F">
        <w:rPr>
          <w:rFonts w:ascii="Arial" w:hAnsi="Arial" w:cs="Arial"/>
          <w:sz w:val="20"/>
          <w:szCs w:val="20"/>
        </w:rPr>
        <w:t>Wirtschaft e. V.</w:t>
      </w:r>
    </w:p>
    <w:p w:rsidR="00083B9F" w:rsidRPr="00083B9F" w:rsidRDefault="00083B9F" w:rsidP="00083B9F">
      <w:pPr>
        <w:spacing w:after="0" w:line="240" w:lineRule="auto"/>
        <w:jc w:val="center"/>
        <w:rPr>
          <w:rFonts w:ascii="Arial" w:eastAsia="Times New Roman" w:hAnsi="Arial" w:cs="Arial"/>
          <w:b/>
          <w:bCs/>
          <w:sz w:val="20"/>
          <w:szCs w:val="20"/>
          <w:lang w:eastAsia="de-DE"/>
        </w:rPr>
      </w:pPr>
    </w:p>
    <w:p w:rsidR="00083B9F" w:rsidRPr="00083B9F" w:rsidRDefault="00083B9F" w:rsidP="00083B9F">
      <w:pPr>
        <w:spacing w:after="0" w:line="240" w:lineRule="auto"/>
        <w:jc w:val="center"/>
        <w:rPr>
          <w:rFonts w:ascii="Arial" w:eastAsia="Times New Roman" w:hAnsi="Arial" w:cs="Arial"/>
          <w:b/>
          <w:bCs/>
          <w:sz w:val="20"/>
          <w:szCs w:val="20"/>
          <w:lang w:eastAsia="de-DE"/>
        </w:rPr>
      </w:pPr>
      <w:r w:rsidRPr="00083B9F">
        <w:rPr>
          <w:rFonts w:ascii="Arial" w:eastAsia="Times New Roman" w:hAnsi="Arial" w:cs="Arial"/>
          <w:b/>
          <w:bCs/>
          <w:sz w:val="20"/>
          <w:szCs w:val="20"/>
          <w:lang w:eastAsia="de-DE"/>
        </w:rPr>
        <w:t>10 Urteile, die Ihre Leser interessieren könnten</w:t>
      </w:r>
    </w:p>
    <w:p w:rsidR="00083B9F" w:rsidRPr="00083B9F" w:rsidRDefault="00083B9F" w:rsidP="00083B9F">
      <w:pPr>
        <w:spacing w:after="0" w:line="240" w:lineRule="auto"/>
        <w:jc w:val="both"/>
        <w:rPr>
          <w:rFonts w:ascii="Arial" w:eastAsia="Times New Roman" w:hAnsi="Arial" w:cs="Arial"/>
          <w:bCs/>
          <w:sz w:val="20"/>
          <w:szCs w:val="20"/>
          <w:lang w:eastAsia="de-DE"/>
        </w:rPr>
      </w:pPr>
    </w:p>
    <w:p w:rsidR="00083B9F" w:rsidRPr="00083B9F" w:rsidRDefault="00083B9F" w:rsidP="00083B9F">
      <w:pPr>
        <w:spacing w:after="0" w:line="240" w:lineRule="auto"/>
        <w:jc w:val="center"/>
        <w:rPr>
          <w:rFonts w:ascii="Arial" w:eastAsia="Times New Roman" w:hAnsi="Arial" w:cs="Arial"/>
          <w:sz w:val="20"/>
          <w:szCs w:val="20"/>
          <w:lang w:eastAsia="de-DE"/>
        </w:rPr>
      </w:pPr>
      <w:r w:rsidRPr="00083B9F">
        <w:rPr>
          <w:rFonts w:ascii="Arial" w:eastAsia="Times New Roman" w:hAnsi="Arial" w:cs="Arial"/>
          <w:sz w:val="20"/>
          <w:szCs w:val="20"/>
          <w:lang w:eastAsia="de-DE"/>
        </w:rPr>
        <w:t>zusammengestellt von Rechtsanwalt/Fachanwalt für Arbeitsrecht u. Fachanwalt für Erbrecht</w:t>
      </w:r>
    </w:p>
    <w:p w:rsidR="00083B9F" w:rsidRPr="00083B9F" w:rsidRDefault="00083B9F" w:rsidP="00083B9F">
      <w:pPr>
        <w:spacing w:after="0" w:line="240" w:lineRule="auto"/>
        <w:ind w:right="540"/>
        <w:jc w:val="center"/>
        <w:rPr>
          <w:rFonts w:ascii="Arial" w:eastAsia="Times New Roman" w:hAnsi="Arial" w:cs="Arial"/>
          <w:bCs/>
          <w:sz w:val="20"/>
          <w:szCs w:val="20"/>
          <w:lang w:eastAsia="de-DE"/>
        </w:rPr>
      </w:pPr>
      <w:r w:rsidRPr="00083B9F">
        <w:rPr>
          <w:rFonts w:ascii="Arial" w:eastAsia="Times New Roman" w:hAnsi="Arial" w:cs="Arial"/>
          <w:bCs/>
          <w:sz w:val="20"/>
          <w:szCs w:val="20"/>
          <w:lang w:eastAsia="de-DE"/>
        </w:rPr>
        <w:t>Michael Henn, Stuttgart</w:t>
      </w:r>
    </w:p>
    <w:p w:rsidR="00083B9F" w:rsidRDefault="00083B9F" w:rsidP="00083B9F">
      <w:pPr>
        <w:spacing w:after="0" w:line="240" w:lineRule="auto"/>
        <w:outlineLvl w:val="2"/>
        <w:rPr>
          <w:rFonts w:ascii="Arial" w:eastAsia="Times New Roman" w:hAnsi="Arial" w:cs="Arial"/>
          <w:b/>
          <w:bCs/>
          <w:sz w:val="20"/>
          <w:szCs w:val="24"/>
          <w:lang w:eastAsia="de-DE"/>
        </w:rPr>
      </w:pPr>
    </w:p>
    <w:p w:rsidR="00083B9F" w:rsidRDefault="00083B9F" w:rsidP="00083B9F">
      <w:pPr>
        <w:spacing w:after="0" w:line="240" w:lineRule="auto"/>
        <w:jc w:val="center"/>
        <w:outlineLvl w:val="2"/>
        <w:rPr>
          <w:rFonts w:ascii="Arial" w:eastAsia="Times New Roman" w:hAnsi="Arial" w:cs="Arial"/>
          <w:b/>
          <w:bCs/>
          <w:sz w:val="20"/>
          <w:szCs w:val="24"/>
          <w:lang w:eastAsia="de-DE"/>
        </w:rPr>
      </w:pPr>
      <w:r>
        <w:rPr>
          <w:rFonts w:ascii="Arial" w:eastAsia="Times New Roman" w:hAnsi="Arial" w:cs="Arial"/>
          <w:b/>
          <w:bCs/>
          <w:sz w:val="20"/>
          <w:szCs w:val="24"/>
          <w:lang w:eastAsia="de-DE"/>
        </w:rPr>
        <w:t>I.</w:t>
      </w:r>
    </w:p>
    <w:p w:rsidR="00083B9F" w:rsidRPr="00083B9F" w:rsidRDefault="00083B9F" w:rsidP="00083B9F">
      <w:pPr>
        <w:spacing w:after="0" w:line="240" w:lineRule="auto"/>
        <w:jc w:val="center"/>
        <w:outlineLvl w:val="2"/>
        <w:rPr>
          <w:rFonts w:ascii="Arial" w:eastAsia="Times New Roman" w:hAnsi="Arial" w:cs="Arial"/>
          <w:b/>
          <w:bCs/>
          <w:sz w:val="20"/>
          <w:szCs w:val="24"/>
          <w:lang w:eastAsia="de-DE"/>
        </w:rPr>
      </w:pPr>
      <w:r w:rsidRPr="00083B9F">
        <w:rPr>
          <w:rFonts w:ascii="Arial" w:eastAsia="Times New Roman" w:hAnsi="Arial" w:cs="Arial"/>
          <w:b/>
          <w:bCs/>
          <w:sz w:val="20"/>
          <w:szCs w:val="24"/>
          <w:lang w:eastAsia="de-DE"/>
        </w:rPr>
        <w:t xml:space="preserve">Hinweis auf Wegfall des Eigenbedarfs </w:t>
      </w:r>
    </w:p>
    <w:p w:rsidR="00083B9F" w:rsidRPr="00083B9F" w:rsidRDefault="00083B9F" w:rsidP="00083B9F">
      <w:pPr>
        <w:spacing w:after="0" w:line="240" w:lineRule="auto"/>
        <w:jc w:val="center"/>
        <w:outlineLvl w:val="2"/>
        <w:rPr>
          <w:rFonts w:ascii="Arial" w:eastAsia="Times New Roman" w:hAnsi="Arial" w:cs="Arial"/>
          <w:bCs/>
          <w:sz w:val="20"/>
          <w:szCs w:val="24"/>
          <w:lang w:eastAsia="de-DE"/>
        </w:rPr>
      </w:pPr>
      <w:r w:rsidRPr="00083B9F">
        <w:rPr>
          <w:rFonts w:ascii="Arial" w:eastAsia="Times New Roman" w:hAnsi="Arial" w:cs="Arial"/>
          <w:bCs/>
          <w:sz w:val="20"/>
          <w:szCs w:val="24"/>
          <w:lang w:eastAsia="de-DE"/>
        </w:rPr>
        <w:t>BGH, Urteil vom 09.12.2020, Az. VIII ZR 238/18</w:t>
      </w:r>
    </w:p>
    <w:p w:rsidR="00083B9F" w:rsidRDefault="00083B9F" w:rsidP="00083B9F">
      <w:pPr>
        <w:spacing w:after="0" w:line="240" w:lineRule="auto"/>
        <w:jc w:val="both"/>
        <w:outlineLvl w:val="2"/>
        <w:rPr>
          <w:rFonts w:ascii="Arial" w:eastAsia="Times New Roman" w:hAnsi="Arial" w:cs="Arial"/>
          <w:b/>
          <w:bCs/>
          <w:sz w:val="20"/>
          <w:szCs w:val="24"/>
          <w:lang w:eastAsia="de-DE"/>
        </w:rPr>
      </w:pPr>
    </w:p>
    <w:p w:rsidR="00083B9F" w:rsidRPr="00083B9F" w:rsidRDefault="00083B9F" w:rsidP="00083B9F">
      <w:pPr>
        <w:spacing w:after="0" w:line="240" w:lineRule="auto"/>
        <w:jc w:val="both"/>
        <w:outlineLvl w:val="2"/>
        <w:rPr>
          <w:rFonts w:ascii="Arial" w:eastAsia="Times New Roman" w:hAnsi="Arial" w:cs="Arial"/>
          <w:bCs/>
          <w:sz w:val="20"/>
          <w:szCs w:val="24"/>
          <w:lang w:eastAsia="de-DE"/>
        </w:rPr>
      </w:pPr>
      <w:r w:rsidRPr="00083B9F">
        <w:rPr>
          <w:rFonts w:ascii="Arial" w:eastAsia="Times New Roman" w:hAnsi="Arial" w:cs="Arial"/>
          <w:bCs/>
          <w:sz w:val="20"/>
          <w:szCs w:val="24"/>
          <w:lang w:eastAsia="de-DE"/>
        </w:rPr>
        <w:t>a) Hat der Vermieter das Mietverhältnis wegen Eigenbedarfs ( § 573 Abs. 2 Nr. 2 BGB ) gekündigt, hat er - zur Vermeidung eines rechtsmissbräuchlichen Verhaltens - den Mieter auf einen späteren Wegfall des Eigenbedarfs bis zum Ablauf der Kündigungsfrist hinzuweisen Dieser Zeitpunkt ist für das Bestehen einer Hinweispflicht grundsätzlich auch dann maßgebend, wenn die Parteien in einem (gerichtlichen) Räumungsvergleich einen späteren Auszugstermin des Mieters vereinbaren.</w:t>
      </w:r>
    </w:p>
    <w:p w:rsidR="00083B9F" w:rsidRPr="00083B9F" w:rsidRDefault="00083B9F" w:rsidP="00083B9F">
      <w:pPr>
        <w:spacing w:after="0" w:line="240" w:lineRule="auto"/>
        <w:jc w:val="both"/>
        <w:outlineLvl w:val="2"/>
        <w:rPr>
          <w:rFonts w:ascii="Arial" w:eastAsia="Times New Roman" w:hAnsi="Arial" w:cs="Arial"/>
          <w:bCs/>
          <w:sz w:val="20"/>
          <w:szCs w:val="24"/>
          <w:lang w:eastAsia="de-DE"/>
        </w:rPr>
      </w:pPr>
      <w:r w:rsidRPr="00083B9F">
        <w:rPr>
          <w:rFonts w:ascii="Arial" w:eastAsia="Times New Roman" w:hAnsi="Arial" w:cs="Arial"/>
          <w:bCs/>
          <w:sz w:val="20"/>
          <w:szCs w:val="24"/>
          <w:lang w:eastAsia="de-DE"/>
        </w:rPr>
        <w:t xml:space="preserve">b) Der ersatzfähige (Kündigungsfolge-)Schaden eines Mieters nach einer unberechtigten Eigenbedarfskündigung durch den Vermieter umfasst nicht die zum Zwecke des Eigentumserwerbs einer Wohnung angefallenen </w:t>
      </w:r>
      <w:proofErr w:type="gramStart"/>
      <w:r w:rsidRPr="00083B9F">
        <w:rPr>
          <w:rFonts w:ascii="Arial" w:eastAsia="Times New Roman" w:hAnsi="Arial" w:cs="Arial"/>
          <w:bCs/>
          <w:sz w:val="20"/>
          <w:szCs w:val="24"/>
          <w:lang w:eastAsia="de-DE"/>
        </w:rPr>
        <w:t>Maklerkosten .</w:t>
      </w:r>
      <w:proofErr w:type="gramEnd"/>
    </w:p>
    <w:p w:rsidR="00083B9F" w:rsidRDefault="00083B9F" w:rsidP="00083B9F">
      <w:pPr>
        <w:spacing w:after="0" w:line="240" w:lineRule="auto"/>
        <w:jc w:val="both"/>
        <w:outlineLvl w:val="2"/>
        <w:rPr>
          <w:rFonts w:ascii="Arial" w:eastAsia="Times New Roman" w:hAnsi="Arial" w:cs="Arial"/>
          <w:b/>
          <w:bCs/>
          <w:sz w:val="20"/>
          <w:szCs w:val="24"/>
          <w:lang w:eastAsia="de-DE"/>
        </w:rPr>
      </w:pPr>
    </w:p>
    <w:p w:rsidR="00083B9F" w:rsidRDefault="00083B9F" w:rsidP="00083B9F">
      <w:pPr>
        <w:spacing w:after="0" w:line="240" w:lineRule="auto"/>
        <w:jc w:val="center"/>
        <w:outlineLvl w:val="2"/>
        <w:rPr>
          <w:rFonts w:ascii="Arial" w:eastAsia="Times New Roman" w:hAnsi="Arial" w:cs="Arial"/>
          <w:b/>
          <w:bCs/>
          <w:sz w:val="20"/>
          <w:szCs w:val="24"/>
          <w:lang w:eastAsia="de-DE"/>
        </w:rPr>
      </w:pPr>
      <w:r>
        <w:rPr>
          <w:rFonts w:ascii="Arial" w:eastAsia="Times New Roman" w:hAnsi="Arial" w:cs="Arial"/>
          <w:b/>
          <w:bCs/>
          <w:sz w:val="20"/>
          <w:szCs w:val="24"/>
          <w:lang w:eastAsia="de-DE"/>
        </w:rPr>
        <w:t>II.</w:t>
      </w:r>
    </w:p>
    <w:p w:rsidR="00083B9F" w:rsidRPr="00083B9F" w:rsidRDefault="00083B9F" w:rsidP="00083B9F">
      <w:pPr>
        <w:spacing w:after="0" w:line="240" w:lineRule="auto"/>
        <w:jc w:val="center"/>
        <w:outlineLvl w:val="2"/>
        <w:rPr>
          <w:rFonts w:ascii="Arial" w:eastAsia="Times New Roman" w:hAnsi="Arial" w:cs="Arial"/>
          <w:b/>
          <w:bCs/>
          <w:sz w:val="20"/>
          <w:szCs w:val="24"/>
          <w:lang w:eastAsia="de-DE"/>
        </w:rPr>
      </w:pPr>
      <w:r w:rsidRPr="00083B9F">
        <w:rPr>
          <w:rFonts w:ascii="Arial" w:eastAsia="Times New Roman" w:hAnsi="Arial" w:cs="Arial"/>
          <w:b/>
          <w:bCs/>
          <w:sz w:val="20"/>
          <w:szCs w:val="24"/>
          <w:lang w:eastAsia="de-DE"/>
        </w:rPr>
        <w:t xml:space="preserve">Wahrung der Schriftform durch Unterschrift des Gesellschafters </w:t>
      </w:r>
    </w:p>
    <w:p w:rsidR="00083B9F" w:rsidRDefault="00083B9F" w:rsidP="00083B9F">
      <w:pPr>
        <w:spacing w:after="0" w:line="240" w:lineRule="auto"/>
        <w:jc w:val="center"/>
        <w:outlineLvl w:val="2"/>
        <w:rPr>
          <w:rFonts w:ascii="Arial" w:eastAsia="Times New Roman" w:hAnsi="Arial" w:cs="Arial"/>
          <w:bCs/>
          <w:sz w:val="20"/>
          <w:szCs w:val="24"/>
          <w:lang w:eastAsia="de-DE"/>
        </w:rPr>
      </w:pPr>
      <w:r w:rsidRPr="00083B9F">
        <w:rPr>
          <w:rFonts w:ascii="Arial" w:eastAsia="Times New Roman" w:hAnsi="Arial" w:cs="Arial"/>
          <w:bCs/>
          <w:sz w:val="20"/>
          <w:szCs w:val="24"/>
          <w:lang w:eastAsia="de-DE"/>
        </w:rPr>
        <w:t xml:space="preserve">BGH, Urteil vom 06.11.2020, </w:t>
      </w:r>
      <w:proofErr w:type="spellStart"/>
      <w:r w:rsidRPr="00083B9F">
        <w:rPr>
          <w:rFonts w:ascii="Arial" w:eastAsia="Times New Roman" w:hAnsi="Arial" w:cs="Arial"/>
          <w:bCs/>
          <w:sz w:val="20"/>
          <w:szCs w:val="24"/>
          <w:lang w:eastAsia="de-DE"/>
        </w:rPr>
        <w:t>Az</w:t>
      </w:r>
      <w:proofErr w:type="spellEnd"/>
      <w:r w:rsidRPr="00083B9F">
        <w:rPr>
          <w:rFonts w:ascii="Arial" w:eastAsia="Times New Roman" w:hAnsi="Arial" w:cs="Arial"/>
          <w:bCs/>
          <w:sz w:val="20"/>
          <w:szCs w:val="24"/>
          <w:lang w:eastAsia="de-DE"/>
        </w:rPr>
        <w:t xml:space="preserve">: </w:t>
      </w:r>
      <w:proofErr w:type="spellStart"/>
      <w:r w:rsidRPr="00083B9F">
        <w:rPr>
          <w:rFonts w:ascii="Arial" w:eastAsia="Times New Roman" w:hAnsi="Arial" w:cs="Arial"/>
          <w:bCs/>
          <w:sz w:val="20"/>
          <w:szCs w:val="24"/>
          <w:lang w:eastAsia="de-DE"/>
        </w:rPr>
        <w:t>LwZR</w:t>
      </w:r>
      <w:proofErr w:type="spellEnd"/>
      <w:r w:rsidRPr="00083B9F">
        <w:rPr>
          <w:rFonts w:ascii="Arial" w:eastAsia="Times New Roman" w:hAnsi="Arial" w:cs="Arial"/>
          <w:bCs/>
          <w:sz w:val="20"/>
          <w:szCs w:val="24"/>
          <w:lang w:eastAsia="de-DE"/>
        </w:rPr>
        <w:t xml:space="preserve"> 5/19</w:t>
      </w:r>
    </w:p>
    <w:p w:rsidR="00083B9F" w:rsidRPr="00083B9F" w:rsidRDefault="00083B9F" w:rsidP="00083B9F">
      <w:pPr>
        <w:spacing w:after="0" w:line="240" w:lineRule="auto"/>
        <w:jc w:val="both"/>
        <w:outlineLvl w:val="2"/>
        <w:rPr>
          <w:rFonts w:ascii="Arial" w:eastAsia="Times New Roman" w:hAnsi="Arial" w:cs="Arial"/>
          <w:bCs/>
          <w:sz w:val="20"/>
          <w:szCs w:val="24"/>
          <w:lang w:eastAsia="de-DE"/>
        </w:rPr>
      </w:pPr>
    </w:p>
    <w:p w:rsidR="006B59AB" w:rsidRPr="00083B9F" w:rsidRDefault="006B59AB" w:rsidP="00083B9F">
      <w:pPr>
        <w:pStyle w:val="Listenabsatz"/>
        <w:numPr>
          <w:ilvl w:val="0"/>
          <w:numId w:val="2"/>
        </w:numPr>
        <w:jc w:val="both"/>
        <w:rPr>
          <w:rFonts w:ascii="Arial" w:hAnsi="Arial" w:cs="Arial"/>
          <w:sz w:val="20"/>
          <w:szCs w:val="21"/>
        </w:rPr>
      </w:pPr>
      <w:r w:rsidRPr="00083B9F">
        <w:rPr>
          <w:rFonts w:ascii="Arial" w:hAnsi="Arial" w:cs="Arial"/>
          <w:sz w:val="20"/>
          <w:szCs w:val="21"/>
        </w:rPr>
        <w:t>Ist im Rubrum eines für längere Zeit als zwei Jahre abgeschlossenen Landpachtvertrags als Vertragspartei eine Gesellschaft bürgerlichen Rechts ohne Angabe zu den Vertretungsverhältnissen aufgeführt und unterzeichnet für diese ein Gesellschafter ohne einen die alleinige Vertretung der Gesellschaft anzeigenden Zusatz wie etwa einen Firmenstempel, ist die in § 585a BGB vorgesehene Schriftform nicht gewahrt.</w:t>
      </w:r>
    </w:p>
    <w:p w:rsidR="006B59AB" w:rsidRPr="00083B9F" w:rsidRDefault="006B59AB" w:rsidP="00083B9F">
      <w:pPr>
        <w:pStyle w:val="Listenabsatz"/>
        <w:numPr>
          <w:ilvl w:val="0"/>
          <w:numId w:val="2"/>
        </w:numPr>
        <w:jc w:val="both"/>
        <w:rPr>
          <w:sz w:val="20"/>
        </w:rPr>
      </w:pPr>
      <w:r w:rsidRPr="00083B9F">
        <w:rPr>
          <w:rFonts w:ascii="Arial" w:hAnsi="Arial" w:cs="Arial"/>
          <w:sz w:val="20"/>
          <w:szCs w:val="21"/>
        </w:rPr>
        <w:t xml:space="preserve">Der Vertrag kann daher </w:t>
      </w:r>
      <w:r w:rsidR="0043290E" w:rsidRPr="00083B9F">
        <w:rPr>
          <w:rFonts w:ascii="Arial" w:hAnsi="Arial" w:cs="Arial"/>
          <w:sz w:val="20"/>
          <w:szCs w:val="21"/>
        </w:rPr>
        <w:t xml:space="preserve">unter Wahrung der gesetzlichen Kündigungsfristen gekündigt werden </w:t>
      </w:r>
    </w:p>
    <w:p w:rsidR="00083B9F" w:rsidRDefault="00083B9F" w:rsidP="00083B9F">
      <w:pPr>
        <w:spacing w:after="0" w:line="240" w:lineRule="auto"/>
        <w:jc w:val="both"/>
        <w:rPr>
          <w:rFonts w:ascii="Arial" w:hAnsi="Arial" w:cs="Arial"/>
          <w:sz w:val="20"/>
        </w:rPr>
      </w:pPr>
    </w:p>
    <w:p w:rsidR="00083B9F" w:rsidRDefault="00083B9F" w:rsidP="00083B9F">
      <w:pPr>
        <w:spacing w:after="0" w:line="240" w:lineRule="auto"/>
        <w:jc w:val="center"/>
        <w:rPr>
          <w:rFonts w:ascii="Arial" w:hAnsi="Arial" w:cs="Arial"/>
          <w:b/>
          <w:sz w:val="20"/>
        </w:rPr>
      </w:pPr>
      <w:r w:rsidRPr="00083B9F">
        <w:rPr>
          <w:rFonts w:ascii="Arial" w:hAnsi="Arial" w:cs="Arial"/>
          <w:b/>
          <w:sz w:val="20"/>
        </w:rPr>
        <w:t>III.</w:t>
      </w:r>
    </w:p>
    <w:p w:rsidR="00083B9F" w:rsidRPr="00083B9F" w:rsidRDefault="00083B9F" w:rsidP="00083B9F">
      <w:pPr>
        <w:spacing w:after="0" w:line="240" w:lineRule="auto"/>
        <w:jc w:val="center"/>
        <w:rPr>
          <w:rFonts w:ascii="Arial" w:hAnsi="Arial" w:cs="Arial"/>
          <w:b/>
          <w:sz w:val="20"/>
        </w:rPr>
      </w:pPr>
      <w:r w:rsidRPr="00083B9F">
        <w:rPr>
          <w:rFonts w:ascii="Arial" w:hAnsi="Arial" w:cs="Arial"/>
          <w:b/>
          <w:sz w:val="20"/>
        </w:rPr>
        <w:t>Abstellen von Mietfahrrädern im öffentlichen Straßenraum (ohne Sondernutzungserlaubnis) unzulässig</w:t>
      </w:r>
    </w:p>
    <w:p w:rsidR="00083B9F" w:rsidRPr="00083B9F" w:rsidRDefault="00083B9F" w:rsidP="00083B9F">
      <w:pPr>
        <w:spacing w:after="0" w:line="240" w:lineRule="auto"/>
        <w:jc w:val="center"/>
        <w:rPr>
          <w:rFonts w:ascii="Arial" w:hAnsi="Arial" w:cs="Arial"/>
          <w:sz w:val="20"/>
        </w:rPr>
      </w:pPr>
      <w:r w:rsidRPr="00083B9F">
        <w:rPr>
          <w:rFonts w:ascii="Arial" w:hAnsi="Arial" w:cs="Arial"/>
          <w:sz w:val="20"/>
        </w:rPr>
        <w:t>Oberverwaltungsgericht Land Nordrhein-Westfalen, Beschluss vom 20.</w:t>
      </w:r>
      <w:r>
        <w:rPr>
          <w:rFonts w:ascii="Arial" w:hAnsi="Arial" w:cs="Arial"/>
          <w:sz w:val="20"/>
        </w:rPr>
        <w:t>11.</w:t>
      </w:r>
      <w:r w:rsidRPr="00083B9F">
        <w:rPr>
          <w:rFonts w:ascii="Arial" w:hAnsi="Arial" w:cs="Arial"/>
          <w:sz w:val="20"/>
        </w:rPr>
        <w:t>2020</w:t>
      </w:r>
      <w:r>
        <w:rPr>
          <w:rFonts w:ascii="Arial" w:hAnsi="Arial" w:cs="Arial"/>
          <w:sz w:val="20"/>
        </w:rPr>
        <w:t>, Az. 11 B 1459/20</w:t>
      </w:r>
    </w:p>
    <w:p w:rsidR="00083B9F" w:rsidRDefault="00083B9F" w:rsidP="00083B9F">
      <w:pPr>
        <w:spacing w:after="0" w:line="240" w:lineRule="auto"/>
        <w:jc w:val="both"/>
        <w:rPr>
          <w:rFonts w:ascii="Arial" w:hAnsi="Arial" w:cs="Arial"/>
          <w:sz w:val="20"/>
        </w:rPr>
      </w:pPr>
    </w:p>
    <w:p w:rsidR="00083B9F" w:rsidRPr="00083B9F" w:rsidRDefault="002423BA" w:rsidP="00083B9F">
      <w:pPr>
        <w:spacing w:after="0" w:line="240" w:lineRule="auto"/>
        <w:jc w:val="both"/>
        <w:rPr>
          <w:rFonts w:ascii="Arial" w:hAnsi="Arial" w:cs="Arial"/>
          <w:sz w:val="20"/>
        </w:rPr>
      </w:pPr>
      <w:r>
        <w:rPr>
          <w:rFonts w:ascii="Arial" w:hAnsi="Arial" w:cs="Arial"/>
          <w:sz w:val="20"/>
        </w:rPr>
        <w:t>1</w:t>
      </w:r>
      <w:r w:rsidR="00083B9F" w:rsidRPr="00083B9F">
        <w:rPr>
          <w:rFonts w:ascii="Arial" w:hAnsi="Arial" w:cs="Arial"/>
          <w:sz w:val="20"/>
        </w:rPr>
        <w:t>. Die Nutzung der öffentlichen Straße durch Abstellen von Mietfahrrädern ("Call a Bike") ist Sondernutzung.</w:t>
      </w:r>
    </w:p>
    <w:p w:rsidR="00083B9F" w:rsidRPr="00083B9F" w:rsidRDefault="00083B9F" w:rsidP="00083B9F">
      <w:pPr>
        <w:spacing w:after="0" w:line="240" w:lineRule="auto"/>
        <w:jc w:val="both"/>
        <w:rPr>
          <w:rFonts w:ascii="Arial" w:hAnsi="Arial" w:cs="Arial"/>
          <w:sz w:val="20"/>
        </w:rPr>
      </w:pPr>
      <w:r w:rsidRPr="00083B9F">
        <w:rPr>
          <w:rFonts w:ascii="Arial" w:hAnsi="Arial" w:cs="Arial"/>
          <w:sz w:val="20"/>
        </w:rPr>
        <w:t>2. Das Abstellen von Mietfahrrädern dient nicht vorwiegend dem Zweck der späteren Wiederinbetriebnahme der Fahrräder, im Vordergrund steht vielmehr der mit dem abgestellten Mietfahrrad verfolgte Zweck, den Abschluss eines Mietvertrags zu bewirken.</w:t>
      </w:r>
    </w:p>
    <w:p w:rsidR="00083B9F" w:rsidRDefault="00083B9F" w:rsidP="00083B9F">
      <w:pPr>
        <w:spacing w:after="0" w:line="240" w:lineRule="auto"/>
        <w:jc w:val="both"/>
        <w:rPr>
          <w:rFonts w:ascii="Arial" w:hAnsi="Arial" w:cs="Arial"/>
          <w:sz w:val="20"/>
        </w:rPr>
      </w:pPr>
      <w:r w:rsidRPr="00083B9F">
        <w:rPr>
          <w:rFonts w:ascii="Arial" w:hAnsi="Arial" w:cs="Arial"/>
          <w:sz w:val="20"/>
        </w:rPr>
        <w:t>3. Eine solche Nutzung unterscheidet sich nicht von sonstigem Straßenhandel, also dem Anbieten von Waren und Leistungen im öffentlichen Straßenraum, der regelmäßig als Sondernutzung zu qualifizieren ist.</w:t>
      </w:r>
    </w:p>
    <w:p w:rsidR="00083B9F" w:rsidRDefault="00083B9F" w:rsidP="00083B9F">
      <w:pPr>
        <w:spacing w:after="0" w:line="240" w:lineRule="auto"/>
        <w:jc w:val="both"/>
        <w:rPr>
          <w:rFonts w:ascii="Arial" w:hAnsi="Arial" w:cs="Arial"/>
          <w:sz w:val="20"/>
        </w:rPr>
      </w:pPr>
    </w:p>
    <w:p w:rsidR="00083B9F" w:rsidRDefault="00083B9F" w:rsidP="00083B9F">
      <w:pPr>
        <w:spacing w:after="0" w:line="240" w:lineRule="auto"/>
        <w:jc w:val="center"/>
        <w:rPr>
          <w:rFonts w:ascii="Arial" w:hAnsi="Arial" w:cs="Arial"/>
          <w:b/>
          <w:sz w:val="20"/>
        </w:rPr>
      </w:pPr>
      <w:r w:rsidRPr="00083B9F">
        <w:rPr>
          <w:rFonts w:ascii="Arial" w:hAnsi="Arial" w:cs="Arial"/>
          <w:b/>
          <w:sz w:val="20"/>
        </w:rPr>
        <w:t>IV.</w:t>
      </w:r>
    </w:p>
    <w:p w:rsidR="00967655" w:rsidRDefault="00967655" w:rsidP="00083B9F">
      <w:pPr>
        <w:spacing w:after="0" w:line="240" w:lineRule="auto"/>
        <w:jc w:val="center"/>
        <w:rPr>
          <w:rFonts w:ascii="Arial" w:hAnsi="Arial" w:cs="Arial"/>
          <w:b/>
          <w:sz w:val="20"/>
        </w:rPr>
      </w:pPr>
      <w:r>
        <w:rPr>
          <w:rFonts w:ascii="Arial" w:hAnsi="Arial" w:cs="Arial"/>
          <w:b/>
          <w:sz w:val="20"/>
        </w:rPr>
        <w:t xml:space="preserve">Mietminderung wg. </w:t>
      </w:r>
      <w:proofErr w:type="spellStart"/>
      <w:r>
        <w:rPr>
          <w:rFonts w:ascii="Arial" w:hAnsi="Arial" w:cs="Arial"/>
          <w:b/>
          <w:sz w:val="20"/>
        </w:rPr>
        <w:t>Coronabschränkungen</w:t>
      </w:r>
      <w:proofErr w:type="spellEnd"/>
    </w:p>
    <w:p w:rsidR="00083B9F" w:rsidRPr="00083B9F" w:rsidRDefault="00083B9F" w:rsidP="00083B9F">
      <w:pPr>
        <w:spacing w:after="0" w:line="240" w:lineRule="auto"/>
        <w:jc w:val="center"/>
        <w:rPr>
          <w:rFonts w:ascii="Arial" w:hAnsi="Arial" w:cs="Arial"/>
          <w:sz w:val="20"/>
        </w:rPr>
      </w:pPr>
      <w:r w:rsidRPr="00083B9F">
        <w:rPr>
          <w:rFonts w:ascii="Arial" w:hAnsi="Arial" w:cs="Arial"/>
          <w:sz w:val="20"/>
        </w:rPr>
        <w:t>LG München I, Urteil vom 25. Januar 2021– 31 O 7743/20</w:t>
      </w:r>
    </w:p>
    <w:p w:rsidR="00083B9F" w:rsidRDefault="00083B9F" w:rsidP="00083B9F">
      <w:pPr>
        <w:spacing w:after="0" w:line="240" w:lineRule="auto"/>
        <w:jc w:val="both"/>
        <w:rPr>
          <w:rFonts w:ascii="Arial" w:hAnsi="Arial" w:cs="Arial"/>
          <w:sz w:val="20"/>
        </w:rPr>
      </w:pPr>
    </w:p>
    <w:p w:rsidR="00083B9F" w:rsidRPr="00083B9F" w:rsidRDefault="00083B9F" w:rsidP="00083B9F">
      <w:pPr>
        <w:spacing w:after="0" w:line="240" w:lineRule="auto"/>
        <w:jc w:val="both"/>
        <w:rPr>
          <w:rFonts w:ascii="Arial" w:hAnsi="Arial" w:cs="Arial"/>
          <w:sz w:val="20"/>
        </w:rPr>
      </w:pPr>
      <w:r w:rsidRPr="00083B9F">
        <w:rPr>
          <w:rFonts w:ascii="Arial" w:hAnsi="Arial" w:cs="Arial"/>
          <w:sz w:val="20"/>
        </w:rPr>
        <w:t>1. Die in den Bayerischen Infektionsschutzmaßnahmenverordnungen (</w:t>
      </w:r>
      <w:proofErr w:type="spellStart"/>
      <w:r w:rsidRPr="00083B9F">
        <w:rPr>
          <w:rFonts w:ascii="Arial" w:hAnsi="Arial" w:cs="Arial"/>
          <w:sz w:val="20"/>
        </w:rPr>
        <w:t>BayIfSMV</w:t>
      </w:r>
      <w:proofErr w:type="spellEnd"/>
      <w:r w:rsidRPr="00083B9F">
        <w:rPr>
          <w:rFonts w:ascii="Arial" w:hAnsi="Arial" w:cs="Arial"/>
          <w:sz w:val="20"/>
        </w:rPr>
        <w:t>) aufgrund der Corona-Pandemie geregelten Beschränkungen für Hotelbetriebe begründen weder einen zur Minderung berechtigenden Mangel der Mietsache noch einen Fall der Unmöglichkeit, führen aber zu einer Störung der Geschäftsgrundlage.</w:t>
      </w:r>
    </w:p>
    <w:p w:rsidR="00083B9F" w:rsidRPr="00083B9F" w:rsidRDefault="00083B9F" w:rsidP="00083B9F">
      <w:pPr>
        <w:spacing w:after="0" w:line="240" w:lineRule="auto"/>
        <w:jc w:val="both"/>
        <w:rPr>
          <w:rFonts w:ascii="Arial" w:hAnsi="Arial" w:cs="Arial"/>
          <w:sz w:val="20"/>
        </w:rPr>
      </w:pPr>
      <w:r w:rsidRPr="00083B9F">
        <w:rPr>
          <w:rFonts w:ascii="Arial" w:hAnsi="Arial" w:cs="Arial"/>
          <w:sz w:val="20"/>
        </w:rPr>
        <w:t>2. Die Entscheidung, ob und in welchem Umfang die Höhe der zu zahlenden Miete im Rahmen der Vertragsanpassung nach § 313 Abs. 1 BGB herabzusetzen ist, bedarf neben dem Rückgriff auf allgemeine Wertungen zur Risikoverteilung zusätzlich einer konkreten Begründung anhand der Umstände des Einzelfalls; Art. 240 § 2 EGBGB entfaltet diesbezüglich keine Sperrwirkung.</w:t>
      </w:r>
    </w:p>
    <w:p w:rsidR="00083B9F" w:rsidRDefault="00083B9F" w:rsidP="00083B9F">
      <w:pPr>
        <w:spacing w:after="0" w:line="240" w:lineRule="auto"/>
        <w:jc w:val="both"/>
        <w:rPr>
          <w:rFonts w:ascii="Arial" w:hAnsi="Arial" w:cs="Arial"/>
          <w:sz w:val="20"/>
        </w:rPr>
      </w:pPr>
    </w:p>
    <w:p w:rsidR="00083B9F" w:rsidRDefault="00083B9F" w:rsidP="00083B9F">
      <w:pPr>
        <w:spacing w:after="0" w:line="240" w:lineRule="auto"/>
        <w:jc w:val="center"/>
        <w:rPr>
          <w:rFonts w:ascii="Arial" w:hAnsi="Arial" w:cs="Arial"/>
          <w:b/>
          <w:sz w:val="20"/>
        </w:rPr>
      </w:pPr>
      <w:r w:rsidRPr="00083B9F">
        <w:rPr>
          <w:rFonts w:ascii="Arial" w:hAnsi="Arial" w:cs="Arial"/>
          <w:b/>
          <w:sz w:val="20"/>
        </w:rPr>
        <w:t>V.</w:t>
      </w:r>
    </w:p>
    <w:p w:rsidR="00083B9F" w:rsidRPr="00083B9F" w:rsidRDefault="00083B9F" w:rsidP="00083B9F">
      <w:pPr>
        <w:spacing w:after="0" w:line="240" w:lineRule="auto"/>
        <w:jc w:val="center"/>
        <w:rPr>
          <w:rFonts w:ascii="Arial" w:hAnsi="Arial" w:cs="Arial"/>
          <w:b/>
          <w:bCs/>
          <w:sz w:val="20"/>
        </w:rPr>
      </w:pPr>
      <w:r w:rsidRPr="00083B9F">
        <w:rPr>
          <w:rFonts w:ascii="Arial" w:hAnsi="Arial" w:cs="Arial"/>
          <w:b/>
          <w:bCs/>
          <w:sz w:val="20"/>
        </w:rPr>
        <w:t xml:space="preserve">Kündigungsfrist bei Automatenaufstellvertrag </w:t>
      </w:r>
    </w:p>
    <w:p w:rsidR="00083B9F" w:rsidRPr="00083B9F" w:rsidRDefault="00083B9F" w:rsidP="00083B9F">
      <w:pPr>
        <w:spacing w:after="0" w:line="240" w:lineRule="auto"/>
        <w:jc w:val="center"/>
        <w:rPr>
          <w:rFonts w:ascii="Arial" w:hAnsi="Arial" w:cs="Arial"/>
          <w:sz w:val="20"/>
        </w:rPr>
      </w:pPr>
      <w:r w:rsidRPr="00083B9F">
        <w:rPr>
          <w:rFonts w:ascii="Arial" w:hAnsi="Arial" w:cs="Arial"/>
          <w:sz w:val="20"/>
        </w:rPr>
        <w:t>BGH, Urteil vom 07.10.2020, Az. XII ZR 145/19</w:t>
      </w:r>
    </w:p>
    <w:p w:rsidR="00083B9F" w:rsidRDefault="00083B9F" w:rsidP="00083B9F">
      <w:pPr>
        <w:spacing w:after="0" w:line="240" w:lineRule="auto"/>
        <w:jc w:val="both"/>
        <w:rPr>
          <w:rFonts w:ascii="Arial" w:hAnsi="Arial" w:cs="Arial"/>
          <w:sz w:val="20"/>
        </w:rPr>
      </w:pPr>
    </w:p>
    <w:p w:rsidR="00083B9F" w:rsidRDefault="00083B9F" w:rsidP="00083B9F">
      <w:pPr>
        <w:spacing w:after="0" w:line="240" w:lineRule="auto"/>
        <w:jc w:val="both"/>
        <w:rPr>
          <w:rFonts w:ascii="Arial" w:hAnsi="Arial" w:cs="Arial"/>
          <w:sz w:val="20"/>
        </w:rPr>
      </w:pPr>
      <w:r>
        <w:rPr>
          <w:rFonts w:ascii="Arial" w:hAnsi="Arial" w:cs="Arial"/>
          <w:sz w:val="20"/>
        </w:rPr>
        <w:t xml:space="preserve">a) </w:t>
      </w:r>
      <w:r w:rsidRPr="00083B9F">
        <w:rPr>
          <w:rFonts w:ascii="Arial" w:hAnsi="Arial" w:cs="Arial"/>
          <w:sz w:val="20"/>
        </w:rPr>
        <w:t xml:space="preserve">Ob eine formularmäßige Vertragsklausel zur Mindestlaufzeit eines Automatenaufstellvertrags den Vertragspartner des Verwenders unangemessen benachteiligt, ist im Rahmen einer Gesamtbetrachtung zu beurteilen, die alle Umstände des Einzelfalls und insbesondere das Wechselspiel mit anderen Vertragsklauseln und sonstigen Umständen berücksichtigt, wie </w:t>
      </w:r>
      <w:r w:rsidRPr="00083B9F">
        <w:rPr>
          <w:rFonts w:ascii="Arial" w:hAnsi="Arial" w:cs="Arial"/>
          <w:sz w:val="20"/>
        </w:rPr>
        <w:lastRenderedPageBreak/>
        <w:t>etwa die gleichzeitige Gewährung eines Darlehens oder von Zuschüssen an den Gastwirt und die Ausgestaltung der Beteiligung des Gastwirts am Einspielerlös (im Anschluss an BGH Urteile vom 29. Februar 1984 - VIII ZR 350/82 - NJW 1985, 53 und vom 6. Oktober 1982 - VIII ZR 201/81 - NJW 1983, 159).</w:t>
      </w:r>
    </w:p>
    <w:p w:rsidR="00083B9F" w:rsidRDefault="00083B9F" w:rsidP="00083B9F">
      <w:pPr>
        <w:spacing w:after="0" w:line="240" w:lineRule="auto"/>
        <w:jc w:val="both"/>
        <w:rPr>
          <w:rFonts w:ascii="Arial" w:hAnsi="Arial" w:cs="Arial"/>
          <w:sz w:val="20"/>
        </w:rPr>
      </w:pPr>
      <w:r w:rsidRPr="00083B9F">
        <w:rPr>
          <w:rFonts w:ascii="Arial" w:hAnsi="Arial" w:cs="Arial"/>
          <w:sz w:val="20"/>
        </w:rPr>
        <w:t>b) Die Kündigungsfrist eines auf unbestimmte Zeit geschlossenen Automatenaufstellvertrags richtet sich nach § 580 a Abs. 1 BGB</w:t>
      </w:r>
    </w:p>
    <w:p w:rsidR="00083B9F" w:rsidRDefault="00083B9F" w:rsidP="00083B9F">
      <w:pPr>
        <w:spacing w:after="0" w:line="240" w:lineRule="auto"/>
        <w:jc w:val="both"/>
        <w:rPr>
          <w:rFonts w:ascii="Arial" w:hAnsi="Arial" w:cs="Arial"/>
          <w:sz w:val="20"/>
        </w:rPr>
      </w:pPr>
    </w:p>
    <w:p w:rsidR="00083B9F" w:rsidRDefault="00083B9F" w:rsidP="00083B9F">
      <w:pPr>
        <w:spacing w:after="0" w:line="240" w:lineRule="auto"/>
        <w:jc w:val="center"/>
        <w:rPr>
          <w:rFonts w:ascii="Arial" w:hAnsi="Arial" w:cs="Arial"/>
          <w:b/>
          <w:sz w:val="20"/>
        </w:rPr>
      </w:pPr>
      <w:r w:rsidRPr="00083B9F">
        <w:rPr>
          <w:rFonts w:ascii="Arial" w:hAnsi="Arial" w:cs="Arial"/>
          <w:b/>
          <w:sz w:val="20"/>
        </w:rPr>
        <w:t>VI.</w:t>
      </w:r>
    </w:p>
    <w:p w:rsidR="00083B9F" w:rsidRDefault="00083B9F" w:rsidP="00083B9F">
      <w:pPr>
        <w:spacing w:after="0" w:line="240" w:lineRule="auto"/>
        <w:jc w:val="center"/>
        <w:rPr>
          <w:rFonts w:ascii="Arial" w:hAnsi="Arial" w:cs="Arial"/>
          <w:b/>
          <w:sz w:val="20"/>
        </w:rPr>
      </w:pPr>
      <w:r w:rsidRPr="00083B9F">
        <w:rPr>
          <w:rFonts w:ascii="Arial" w:hAnsi="Arial" w:cs="Arial"/>
          <w:b/>
          <w:sz w:val="20"/>
        </w:rPr>
        <w:t>Akteneinsicht für Kommanditisten</w:t>
      </w:r>
    </w:p>
    <w:p w:rsidR="00083B9F" w:rsidRPr="00083B9F" w:rsidRDefault="00083B9F" w:rsidP="00083B9F">
      <w:pPr>
        <w:spacing w:after="0" w:line="240" w:lineRule="auto"/>
        <w:jc w:val="center"/>
        <w:rPr>
          <w:rFonts w:ascii="Arial" w:hAnsi="Arial" w:cs="Arial"/>
          <w:sz w:val="20"/>
        </w:rPr>
      </w:pPr>
      <w:r w:rsidRPr="00083B9F">
        <w:rPr>
          <w:rFonts w:ascii="Arial" w:hAnsi="Arial" w:cs="Arial"/>
          <w:sz w:val="20"/>
        </w:rPr>
        <w:t>BGH, Beschluss vom 15.10.2020, Az. IX AR(VZ) 2/19</w:t>
      </w:r>
    </w:p>
    <w:p w:rsidR="00083B9F" w:rsidRPr="00083B9F" w:rsidRDefault="00083B9F" w:rsidP="00083B9F">
      <w:pPr>
        <w:spacing w:after="0" w:line="240" w:lineRule="auto"/>
        <w:jc w:val="both"/>
        <w:rPr>
          <w:rFonts w:ascii="Arial" w:hAnsi="Arial" w:cs="Arial"/>
          <w:sz w:val="20"/>
        </w:rPr>
      </w:pPr>
    </w:p>
    <w:p w:rsidR="00083B9F" w:rsidRDefault="00083B9F" w:rsidP="00083B9F">
      <w:pPr>
        <w:spacing w:after="0" w:line="240" w:lineRule="auto"/>
        <w:jc w:val="both"/>
        <w:rPr>
          <w:rFonts w:ascii="Arial" w:hAnsi="Arial" w:cs="Arial"/>
          <w:sz w:val="20"/>
        </w:rPr>
      </w:pPr>
      <w:r>
        <w:rPr>
          <w:rFonts w:ascii="Arial" w:hAnsi="Arial" w:cs="Arial"/>
          <w:sz w:val="20"/>
        </w:rPr>
        <w:t xml:space="preserve">a) </w:t>
      </w:r>
      <w:r w:rsidRPr="00083B9F">
        <w:rPr>
          <w:rFonts w:ascii="Arial" w:hAnsi="Arial" w:cs="Arial"/>
          <w:sz w:val="20"/>
        </w:rPr>
        <w:t>Dem Kommanditisten kann Einsicht in die Akten des Insolvenzeröffnungsverfahrens über das Vermögen der Gesellschaft nur gewährt werden, wenn er ein rechtliches Interesse hieran glaubhaft macht.</w:t>
      </w:r>
    </w:p>
    <w:p w:rsidR="00083B9F" w:rsidRPr="00083B9F" w:rsidRDefault="00083B9F" w:rsidP="00083B9F">
      <w:pPr>
        <w:spacing w:after="0" w:line="240" w:lineRule="auto"/>
        <w:jc w:val="both"/>
        <w:rPr>
          <w:rFonts w:ascii="Arial" w:hAnsi="Arial" w:cs="Arial"/>
          <w:sz w:val="20"/>
        </w:rPr>
      </w:pPr>
      <w:r w:rsidRPr="00083B9F">
        <w:rPr>
          <w:rFonts w:ascii="Arial" w:hAnsi="Arial" w:cs="Arial"/>
          <w:sz w:val="20"/>
        </w:rPr>
        <w:t>b) Stützt der Kommanditist sein rechtliches Interesse an der Akteneinsicht auf eine mögliche Inanspruchnahme durch den Insolvenzverwalter nach § 171 Abs. 2, § 172 Abs. 4 HGB, so genügt es, wenn er darlegt und glaubhaft macht, dass er entweder eine Einlage nicht vollständig erbracht oder Ausschüttungen von der Gesellschaft erhalten hat</w:t>
      </w:r>
    </w:p>
    <w:p w:rsidR="00083B9F" w:rsidRDefault="00083B9F" w:rsidP="00083B9F">
      <w:pPr>
        <w:spacing w:after="0" w:line="240" w:lineRule="auto"/>
        <w:jc w:val="both"/>
        <w:rPr>
          <w:rFonts w:ascii="Arial" w:hAnsi="Arial" w:cs="Arial"/>
          <w:b/>
          <w:sz w:val="20"/>
        </w:rPr>
      </w:pPr>
    </w:p>
    <w:p w:rsidR="00083B9F" w:rsidRDefault="00083B9F" w:rsidP="00083B9F">
      <w:pPr>
        <w:spacing w:after="0" w:line="240" w:lineRule="auto"/>
        <w:jc w:val="center"/>
        <w:rPr>
          <w:rFonts w:ascii="Arial" w:hAnsi="Arial" w:cs="Arial"/>
          <w:b/>
          <w:sz w:val="20"/>
        </w:rPr>
      </w:pPr>
      <w:r>
        <w:rPr>
          <w:rFonts w:ascii="Arial" w:hAnsi="Arial" w:cs="Arial"/>
          <w:b/>
          <w:sz w:val="20"/>
        </w:rPr>
        <w:t>VII.</w:t>
      </w:r>
    </w:p>
    <w:p w:rsidR="00083B9F" w:rsidRPr="00083B9F" w:rsidRDefault="00083B9F" w:rsidP="00083B9F">
      <w:pPr>
        <w:spacing w:after="0" w:line="240" w:lineRule="auto"/>
        <w:jc w:val="center"/>
        <w:rPr>
          <w:rFonts w:ascii="Arial" w:hAnsi="Arial" w:cs="Arial"/>
          <w:b/>
          <w:bCs/>
          <w:sz w:val="20"/>
        </w:rPr>
      </w:pPr>
      <w:r w:rsidRPr="00083B9F">
        <w:rPr>
          <w:rFonts w:ascii="Arial" w:hAnsi="Arial" w:cs="Arial"/>
          <w:b/>
          <w:bCs/>
          <w:sz w:val="20"/>
        </w:rPr>
        <w:t xml:space="preserve">Klausel über </w:t>
      </w:r>
      <w:r w:rsidR="002423BA">
        <w:rPr>
          <w:rFonts w:ascii="Arial" w:hAnsi="Arial" w:cs="Arial"/>
          <w:b/>
          <w:bCs/>
          <w:sz w:val="20"/>
        </w:rPr>
        <w:t>Arbeitnehmerv</w:t>
      </w:r>
      <w:r w:rsidRPr="00083B9F">
        <w:rPr>
          <w:rFonts w:ascii="Arial" w:hAnsi="Arial" w:cs="Arial"/>
          <w:b/>
          <w:bCs/>
          <w:sz w:val="20"/>
        </w:rPr>
        <w:t>ermittlungshonorar</w:t>
      </w:r>
    </w:p>
    <w:p w:rsidR="00083B9F" w:rsidRPr="00967655" w:rsidRDefault="00083B9F" w:rsidP="00083B9F">
      <w:pPr>
        <w:spacing w:after="0" w:line="240" w:lineRule="auto"/>
        <w:jc w:val="center"/>
        <w:rPr>
          <w:rFonts w:ascii="Arial" w:hAnsi="Arial" w:cs="Arial"/>
          <w:sz w:val="20"/>
        </w:rPr>
      </w:pPr>
      <w:r w:rsidRPr="00967655">
        <w:rPr>
          <w:rFonts w:ascii="Arial" w:hAnsi="Arial" w:cs="Arial"/>
          <w:sz w:val="20"/>
        </w:rPr>
        <w:t>BGH, Urteil vom 05.11.2020, Az. III ZR 156/19</w:t>
      </w:r>
    </w:p>
    <w:p w:rsidR="00083B9F" w:rsidRPr="00083B9F" w:rsidRDefault="00083B9F" w:rsidP="00083B9F">
      <w:pPr>
        <w:spacing w:after="0" w:line="240" w:lineRule="auto"/>
        <w:jc w:val="both"/>
        <w:rPr>
          <w:rFonts w:ascii="Arial" w:hAnsi="Arial" w:cs="Arial"/>
          <w:sz w:val="20"/>
        </w:rPr>
      </w:pPr>
    </w:p>
    <w:p w:rsidR="00083B9F" w:rsidRDefault="00083B9F" w:rsidP="00083B9F">
      <w:pPr>
        <w:spacing w:after="0" w:line="240" w:lineRule="auto"/>
        <w:jc w:val="both"/>
        <w:rPr>
          <w:rFonts w:ascii="Arial" w:hAnsi="Arial" w:cs="Arial"/>
          <w:sz w:val="20"/>
        </w:rPr>
      </w:pPr>
      <w:r w:rsidRPr="00083B9F">
        <w:rPr>
          <w:rFonts w:ascii="Arial" w:hAnsi="Arial" w:cs="Arial"/>
          <w:sz w:val="20"/>
        </w:rPr>
        <w:t xml:space="preserve">Eine in einem Arbeitnehmerüberlassungsvertrag enthaltene Vermittlungshonorarklausel ist wirksam, wenn das Honorar maximal zwei Bruttomonatsgehälter beträgt und sich entsprechend der Dauer der erfolgten Arbeitnehmerüberlassung für jeden vollen Monat um ein Zwölftel reduziert. Daran ändert nichts, dass zunächst der Verleiher das Arbeitsverhältnis mit dem Leiharbeitnehmer durch Kündigung beendet und dieser anschließend ein Arbeitsverhältnis mit dem (vormaligen) Entleiher begründet </w:t>
      </w:r>
    </w:p>
    <w:p w:rsidR="002423BA" w:rsidRDefault="002423BA" w:rsidP="00083B9F">
      <w:pPr>
        <w:spacing w:after="0" w:line="240" w:lineRule="auto"/>
        <w:jc w:val="both"/>
        <w:rPr>
          <w:rFonts w:ascii="Arial" w:hAnsi="Arial" w:cs="Arial"/>
          <w:sz w:val="20"/>
        </w:rPr>
      </w:pPr>
    </w:p>
    <w:p w:rsidR="00BE6776" w:rsidRDefault="00BE6776" w:rsidP="00BE6776">
      <w:pPr>
        <w:spacing w:after="0" w:line="240" w:lineRule="auto"/>
        <w:jc w:val="center"/>
        <w:rPr>
          <w:rFonts w:ascii="Arial" w:hAnsi="Arial" w:cs="Arial"/>
          <w:b/>
          <w:sz w:val="20"/>
        </w:rPr>
      </w:pPr>
      <w:r>
        <w:rPr>
          <w:rFonts w:ascii="Arial" w:hAnsi="Arial" w:cs="Arial"/>
          <w:b/>
          <w:sz w:val="20"/>
        </w:rPr>
        <w:t>VIII.</w:t>
      </w:r>
    </w:p>
    <w:p w:rsidR="00D41552" w:rsidRPr="00D41552" w:rsidRDefault="00D41552" w:rsidP="00D41552">
      <w:pPr>
        <w:spacing w:after="0" w:line="240" w:lineRule="auto"/>
        <w:jc w:val="center"/>
        <w:rPr>
          <w:rFonts w:ascii="Arial" w:hAnsi="Arial" w:cs="Arial"/>
          <w:b/>
          <w:sz w:val="20"/>
        </w:rPr>
      </w:pPr>
      <w:r w:rsidRPr="00D41552">
        <w:rPr>
          <w:rFonts w:ascii="Arial" w:hAnsi="Arial" w:cs="Arial"/>
          <w:b/>
          <w:sz w:val="20"/>
        </w:rPr>
        <w:t>Außerordentliche Kündigung - Abmahnung - Verschleierung eines Vertragspflichtverstoßes - Unpünktlichkeit</w:t>
      </w:r>
    </w:p>
    <w:p w:rsidR="00D41552" w:rsidRPr="00D41552" w:rsidRDefault="00D41552" w:rsidP="00BE6776">
      <w:pPr>
        <w:spacing w:after="0" w:line="240" w:lineRule="auto"/>
        <w:jc w:val="center"/>
        <w:rPr>
          <w:rFonts w:ascii="Arial" w:hAnsi="Arial" w:cs="Arial"/>
          <w:sz w:val="20"/>
        </w:rPr>
      </w:pPr>
      <w:r w:rsidRPr="00D41552">
        <w:rPr>
          <w:rFonts w:ascii="Arial" w:hAnsi="Arial" w:cs="Arial"/>
          <w:sz w:val="20"/>
        </w:rPr>
        <w:t>Landesarbeitsgericht Köln, Urteil vom 03. Dezember 2020</w:t>
      </w:r>
      <w:r>
        <w:rPr>
          <w:rFonts w:ascii="Arial" w:hAnsi="Arial" w:cs="Arial"/>
          <w:sz w:val="20"/>
        </w:rPr>
        <w:t>, Az.</w:t>
      </w:r>
      <w:r w:rsidRPr="00D41552">
        <w:rPr>
          <w:rFonts w:ascii="Arial" w:hAnsi="Arial" w:cs="Arial"/>
          <w:sz w:val="20"/>
        </w:rPr>
        <w:t xml:space="preserve"> 6 Sa 494/20</w:t>
      </w:r>
    </w:p>
    <w:p w:rsidR="00BE6776" w:rsidRDefault="00BE6776" w:rsidP="00BE6776">
      <w:pPr>
        <w:spacing w:after="0" w:line="240" w:lineRule="auto"/>
        <w:jc w:val="both"/>
        <w:rPr>
          <w:rFonts w:ascii="Arial" w:hAnsi="Arial" w:cs="Arial"/>
          <w:b/>
          <w:sz w:val="20"/>
        </w:rPr>
      </w:pPr>
    </w:p>
    <w:p w:rsidR="00D41552" w:rsidRPr="00D41552" w:rsidRDefault="00D41552" w:rsidP="00D41552">
      <w:pPr>
        <w:spacing w:after="0" w:line="240" w:lineRule="auto"/>
        <w:jc w:val="both"/>
        <w:rPr>
          <w:rFonts w:ascii="Arial" w:hAnsi="Arial" w:cs="Arial"/>
          <w:sz w:val="20"/>
        </w:rPr>
      </w:pPr>
      <w:r w:rsidRPr="00D41552">
        <w:rPr>
          <w:rFonts w:ascii="Arial" w:hAnsi="Arial" w:cs="Arial"/>
          <w:sz w:val="20"/>
        </w:rPr>
        <w:lastRenderedPageBreak/>
        <w:t>Eine vom Arbeitgeber berechtigterweise ausgesprochene Abmahnung ist nicht geeignet, die Verschleierung des nächsten Vertragspflichtverstoßes zu rechtfertigen</w:t>
      </w:r>
      <w:r w:rsidR="002423BA">
        <w:rPr>
          <w:rFonts w:ascii="Arial" w:hAnsi="Arial" w:cs="Arial"/>
          <w:sz w:val="20"/>
        </w:rPr>
        <w:t>.</w:t>
      </w:r>
    </w:p>
    <w:p w:rsidR="00D41552" w:rsidRDefault="00D41552" w:rsidP="00BE6776">
      <w:pPr>
        <w:spacing w:after="0" w:line="240" w:lineRule="auto"/>
        <w:jc w:val="both"/>
        <w:rPr>
          <w:rFonts w:ascii="Arial" w:hAnsi="Arial" w:cs="Arial"/>
          <w:b/>
          <w:sz w:val="20"/>
        </w:rPr>
      </w:pPr>
    </w:p>
    <w:p w:rsidR="00967655" w:rsidRDefault="00967655" w:rsidP="00083B9F">
      <w:pPr>
        <w:spacing w:after="0" w:line="240" w:lineRule="auto"/>
        <w:jc w:val="both"/>
        <w:rPr>
          <w:rFonts w:ascii="Arial" w:hAnsi="Arial" w:cs="Arial"/>
          <w:sz w:val="20"/>
        </w:rPr>
      </w:pPr>
      <w:r w:rsidRPr="00D41552">
        <w:rPr>
          <w:rFonts w:ascii="Arial" w:hAnsi="Arial" w:cs="Arial"/>
          <w:sz w:val="20"/>
        </w:rPr>
        <w:t xml:space="preserve">Die Tatsache, dass die vom Kläger falsch aufgeschriebene Arbeitszeit nur wenige Minuten von der real geleisteten Arbeitszeit abweicht, lässt den Vertragspflichtverstoß der </w:t>
      </w:r>
      <w:r w:rsidRPr="00D41552">
        <w:rPr>
          <w:rStyle w:val="Hervorhebung"/>
          <w:rFonts w:ascii="Arial" w:hAnsi="Arial" w:cs="Arial"/>
          <w:sz w:val="20"/>
        </w:rPr>
        <w:t>Verschleierung</w:t>
      </w:r>
      <w:r w:rsidRPr="00D41552">
        <w:rPr>
          <w:rFonts w:ascii="Arial" w:hAnsi="Arial" w:cs="Arial"/>
          <w:sz w:val="20"/>
        </w:rPr>
        <w:t xml:space="preserve"> des Fehlverhaltens nicht in einem milderen Licht erscheinen. Denn bei der Frage der Wirksamkeit einer außerordentlichen Kündigung geht es nicht um eine repressive Strafzumessung oder Sanktion für begangenes Unrecht in der Vergangenheit, sondern um die Vermeidung des Risikos künftiger Störungen des Arbeitsverhältnisses sowie um die Abwägung von Interessen im Zusammenhang mit der Frage, ob der Arbeitgeberin die Fortsetzung des Dauerschuldverhältnisses für die Zukunft zumutbar ist</w:t>
      </w:r>
    </w:p>
    <w:p w:rsidR="00D41552" w:rsidRDefault="00D41552">
      <w:pPr>
        <w:rPr>
          <w:rFonts w:ascii="Arial" w:hAnsi="Arial" w:cs="Arial"/>
          <w:sz w:val="20"/>
        </w:rPr>
      </w:pPr>
      <w:r>
        <w:rPr>
          <w:rFonts w:ascii="Arial" w:hAnsi="Arial" w:cs="Arial"/>
          <w:sz w:val="20"/>
        </w:rPr>
        <w:br w:type="page"/>
      </w:r>
    </w:p>
    <w:p w:rsidR="00D41552" w:rsidRDefault="00D41552" w:rsidP="00083B9F">
      <w:pPr>
        <w:spacing w:after="0" w:line="240" w:lineRule="auto"/>
        <w:jc w:val="both"/>
        <w:rPr>
          <w:rFonts w:ascii="Arial" w:hAnsi="Arial" w:cs="Arial"/>
          <w:sz w:val="20"/>
        </w:rPr>
      </w:pPr>
    </w:p>
    <w:p w:rsidR="00D41552" w:rsidRDefault="00D41552" w:rsidP="00D41552">
      <w:pPr>
        <w:spacing w:after="0" w:line="240" w:lineRule="auto"/>
        <w:jc w:val="center"/>
        <w:rPr>
          <w:rFonts w:ascii="Arial" w:hAnsi="Arial" w:cs="Arial"/>
          <w:b/>
          <w:sz w:val="20"/>
        </w:rPr>
      </w:pPr>
      <w:r w:rsidRPr="00D41552">
        <w:rPr>
          <w:rFonts w:ascii="Arial" w:hAnsi="Arial" w:cs="Arial"/>
          <w:b/>
          <w:sz w:val="20"/>
        </w:rPr>
        <w:t>IX.</w:t>
      </w:r>
    </w:p>
    <w:p w:rsidR="00D41552" w:rsidRPr="00D41552" w:rsidRDefault="00D41552" w:rsidP="00D41552">
      <w:pPr>
        <w:spacing w:after="0" w:line="240" w:lineRule="auto"/>
        <w:jc w:val="center"/>
        <w:rPr>
          <w:rFonts w:ascii="Arial" w:hAnsi="Arial" w:cs="Arial"/>
          <w:b/>
          <w:sz w:val="20"/>
        </w:rPr>
      </w:pPr>
      <w:r w:rsidRPr="00D41552">
        <w:rPr>
          <w:rFonts w:ascii="Arial" w:hAnsi="Arial" w:cs="Arial"/>
          <w:b/>
          <w:sz w:val="20"/>
        </w:rPr>
        <w:t>Karenzentschädigung - Kommanditanteile - variable Entgeltbestandteile - vertragsmäßige Leistung</w:t>
      </w:r>
    </w:p>
    <w:p w:rsidR="00D41552" w:rsidRDefault="00D41552" w:rsidP="00D41552">
      <w:pPr>
        <w:spacing w:after="0" w:line="240" w:lineRule="auto"/>
        <w:jc w:val="center"/>
        <w:rPr>
          <w:rFonts w:ascii="Arial" w:hAnsi="Arial" w:cs="Arial"/>
          <w:sz w:val="20"/>
        </w:rPr>
      </w:pPr>
      <w:proofErr w:type="spellStart"/>
      <w:r w:rsidRPr="00D41552">
        <w:rPr>
          <w:rFonts w:ascii="Arial" w:hAnsi="Arial" w:cs="Arial"/>
          <w:sz w:val="20"/>
        </w:rPr>
        <w:t>LArbG</w:t>
      </w:r>
      <w:proofErr w:type="spellEnd"/>
      <w:r w:rsidRPr="00D41552">
        <w:rPr>
          <w:rFonts w:ascii="Arial" w:hAnsi="Arial" w:cs="Arial"/>
          <w:sz w:val="20"/>
        </w:rPr>
        <w:t xml:space="preserve"> Berlin-Brandenburg, Urteil vom 02. Dezember 2020 – 15 Sa 964/20 </w:t>
      </w:r>
    </w:p>
    <w:p w:rsidR="00D41552" w:rsidRDefault="00D41552" w:rsidP="00D41552">
      <w:pPr>
        <w:spacing w:after="0" w:line="240" w:lineRule="auto"/>
        <w:jc w:val="both"/>
        <w:rPr>
          <w:rFonts w:ascii="Arial" w:hAnsi="Arial" w:cs="Arial"/>
          <w:sz w:val="20"/>
        </w:rPr>
      </w:pPr>
    </w:p>
    <w:p w:rsidR="00D41552" w:rsidRPr="00D41552" w:rsidRDefault="00D41552" w:rsidP="00D41552">
      <w:pPr>
        <w:spacing w:after="0" w:line="240" w:lineRule="auto"/>
        <w:jc w:val="both"/>
        <w:rPr>
          <w:rFonts w:ascii="Arial" w:hAnsi="Arial" w:cs="Arial"/>
          <w:sz w:val="20"/>
        </w:rPr>
      </w:pPr>
      <w:r w:rsidRPr="00D41552">
        <w:rPr>
          <w:rFonts w:ascii="Arial" w:hAnsi="Arial" w:cs="Arial"/>
          <w:sz w:val="20"/>
        </w:rPr>
        <w:t>Variable Entgeltbestandteile sind bei der Bemessung der Karenzentschädigung nur dann zu berücksichtigen, wenn sie zu den zuletzt bezogenen vertragsmäßigen Leistungen gemäß § 74 Abs. 2 HGB zu zählen sind. Dies ist nicht der Fall, wenn der Leistungszeitraum für diese Vergütungsbestandteile schon zuvor endete.</w:t>
      </w:r>
    </w:p>
    <w:p w:rsidR="00D41552" w:rsidRDefault="00D41552" w:rsidP="00D41552">
      <w:pPr>
        <w:spacing w:after="0" w:line="240" w:lineRule="auto"/>
        <w:jc w:val="both"/>
        <w:rPr>
          <w:rFonts w:ascii="Arial" w:hAnsi="Arial" w:cs="Arial"/>
          <w:sz w:val="20"/>
        </w:rPr>
      </w:pPr>
    </w:p>
    <w:p w:rsidR="002423BA" w:rsidRPr="002423BA" w:rsidRDefault="00D41552" w:rsidP="002423BA">
      <w:pPr>
        <w:pStyle w:val="Listenabsatz"/>
        <w:numPr>
          <w:ilvl w:val="0"/>
          <w:numId w:val="10"/>
        </w:numPr>
        <w:spacing w:after="0" w:line="240" w:lineRule="auto"/>
        <w:jc w:val="both"/>
        <w:rPr>
          <w:rFonts w:ascii="Arial" w:hAnsi="Arial" w:cs="Arial"/>
          <w:sz w:val="20"/>
        </w:rPr>
      </w:pPr>
      <w:r w:rsidRPr="002423BA">
        <w:rPr>
          <w:rFonts w:ascii="Arial" w:hAnsi="Arial" w:cs="Arial"/>
          <w:sz w:val="20"/>
        </w:rPr>
        <w:t xml:space="preserve">Nach § 74 </w:t>
      </w:r>
      <w:proofErr w:type="spellStart"/>
      <w:r w:rsidRPr="002423BA">
        <w:rPr>
          <w:rFonts w:ascii="Arial" w:hAnsi="Arial" w:cs="Arial"/>
          <w:sz w:val="20"/>
        </w:rPr>
        <w:t>Abs</w:t>
      </w:r>
      <w:proofErr w:type="spellEnd"/>
      <w:r w:rsidRPr="002423BA">
        <w:rPr>
          <w:rFonts w:ascii="Arial" w:hAnsi="Arial" w:cs="Arial"/>
          <w:sz w:val="20"/>
        </w:rPr>
        <w:t xml:space="preserve"> 2 HGB ist als Karenzentschädigung mindestens die Hälfte der von dem Arbeitnehmer zuletzt bezogenen vertragsmäßigen Leistungen zu zahlen. Als vertragsgemäß im Sinne dieser Norm ist eine Leistung anzusehen, die auf dem Austauschcharakter des Arbeitsvertrages beruht und als Vergütung für die geleistete Arbeit erbracht wird. Hierzu zählen auch Jahresvergütungen, Gratifikationen, zusätzliche Urlaubsgelder, Tantiemen und ähnliche Sonderzuwendungen, selbst wenn sie der Arbeitgeber unter Ausschluss eines Rechtsanspruchs als freiwillige Leistung gewährt hat</w:t>
      </w:r>
      <w:bookmarkStart w:id="2" w:name="_retrdlink_20"/>
    </w:p>
    <w:p w:rsidR="00D41552" w:rsidRPr="002423BA" w:rsidRDefault="00D41552" w:rsidP="002423BA">
      <w:pPr>
        <w:pStyle w:val="Listenabsatz"/>
        <w:numPr>
          <w:ilvl w:val="0"/>
          <w:numId w:val="10"/>
        </w:numPr>
        <w:spacing w:after="0" w:line="240" w:lineRule="auto"/>
        <w:jc w:val="both"/>
        <w:rPr>
          <w:rFonts w:ascii="Arial" w:hAnsi="Arial" w:cs="Arial"/>
          <w:sz w:val="20"/>
        </w:rPr>
      </w:pPr>
      <w:r w:rsidRPr="002423BA">
        <w:rPr>
          <w:rFonts w:ascii="Arial" w:hAnsi="Arial" w:cs="Arial"/>
          <w:sz w:val="20"/>
        </w:rPr>
        <w:t>Entscheidend ist, was der Arbeitnehmer als Gegenleistung für seine Arbeitsleistung zu dem maßgeblichen Zeitpunkt tatsächlich erhalten hat bzw. hätte erhalten müssen, auch wenn der Anspruch später fällig wird oder die Auszahlung zu einem späteren Zeitpunkt erfolgt. Unerheblich ist, was der Arbeitnehmer im selben Arbeitsverhältnis zu einem früheren Zeitpunkt verdient hat. Maßgeblich ist allein, wie hoch der Verdienst bei Beendigung des Arbeitsverhältnisses war.</w:t>
      </w:r>
      <w:bookmarkEnd w:id="2"/>
    </w:p>
    <w:p w:rsidR="002423BA" w:rsidRPr="002423BA" w:rsidRDefault="002423BA" w:rsidP="002423BA">
      <w:pPr>
        <w:pStyle w:val="Listenabsatz"/>
        <w:spacing w:after="0" w:line="240" w:lineRule="auto"/>
        <w:ind w:left="360"/>
        <w:jc w:val="both"/>
        <w:rPr>
          <w:rFonts w:ascii="Arial" w:hAnsi="Arial" w:cs="Arial"/>
          <w:sz w:val="20"/>
        </w:rPr>
      </w:pPr>
    </w:p>
    <w:p w:rsidR="00D41552" w:rsidRDefault="00D41552" w:rsidP="00D41552">
      <w:pPr>
        <w:spacing w:after="0" w:line="240" w:lineRule="auto"/>
        <w:jc w:val="center"/>
        <w:rPr>
          <w:rFonts w:ascii="Arial" w:hAnsi="Arial" w:cs="Arial"/>
          <w:b/>
          <w:sz w:val="20"/>
        </w:rPr>
      </w:pPr>
      <w:r w:rsidRPr="00D41552">
        <w:rPr>
          <w:rFonts w:ascii="Arial" w:hAnsi="Arial" w:cs="Arial"/>
          <w:b/>
          <w:sz w:val="20"/>
        </w:rPr>
        <w:t>X.</w:t>
      </w:r>
    </w:p>
    <w:p w:rsidR="00D41552" w:rsidRPr="00D41552" w:rsidRDefault="00D41552" w:rsidP="00D41552">
      <w:pPr>
        <w:spacing w:after="0" w:line="240" w:lineRule="auto"/>
        <w:jc w:val="center"/>
        <w:rPr>
          <w:rFonts w:ascii="Arial" w:hAnsi="Arial" w:cs="Arial"/>
          <w:b/>
          <w:sz w:val="20"/>
        </w:rPr>
      </w:pPr>
      <w:r w:rsidRPr="00D41552">
        <w:rPr>
          <w:rFonts w:ascii="Arial" w:hAnsi="Arial" w:cs="Arial"/>
          <w:b/>
          <w:sz w:val="20"/>
        </w:rPr>
        <w:t>Vorsicht bei Ausschlagung</w:t>
      </w:r>
      <w:r w:rsidR="002423BA">
        <w:rPr>
          <w:rFonts w:ascii="Arial" w:hAnsi="Arial" w:cs="Arial"/>
          <w:b/>
          <w:sz w:val="20"/>
        </w:rPr>
        <w:t xml:space="preserve"> der Erbschaft</w:t>
      </w:r>
      <w:bookmarkStart w:id="3" w:name="_GoBack"/>
      <w:bookmarkEnd w:id="3"/>
    </w:p>
    <w:p w:rsidR="00D41552" w:rsidRPr="00D41552" w:rsidRDefault="00D41552" w:rsidP="00D41552">
      <w:pPr>
        <w:spacing w:after="0" w:line="240" w:lineRule="auto"/>
        <w:ind w:left="567"/>
        <w:jc w:val="center"/>
        <w:rPr>
          <w:rFonts w:ascii="Arial" w:hAnsi="Arial" w:cs="Arial"/>
          <w:sz w:val="20"/>
        </w:rPr>
      </w:pPr>
      <w:r w:rsidRPr="00D41552">
        <w:rPr>
          <w:rFonts w:ascii="Arial" w:hAnsi="Arial" w:cs="Arial"/>
          <w:bCs/>
          <w:sz w:val="20"/>
        </w:rPr>
        <w:t xml:space="preserve">OLG Düsseldorf, Beschluss vom 09.12.2020, Az. 3 </w:t>
      </w:r>
      <w:proofErr w:type="spellStart"/>
      <w:r w:rsidRPr="00D41552">
        <w:rPr>
          <w:rFonts w:ascii="Arial" w:hAnsi="Arial" w:cs="Arial"/>
          <w:bCs/>
          <w:sz w:val="20"/>
        </w:rPr>
        <w:t>Wx</w:t>
      </w:r>
      <w:proofErr w:type="spellEnd"/>
      <w:r w:rsidRPr="00D41552">
        <w:rPr>
          <w:rFonts w:ascii="Arial" w:hAnsi="Arial" w:cs="Arial"/>
          <w:bCs/>
          <w:sz w:val="20"/>
        </w:rPr>
        <w:t xml:space="preserve"> 13/20</w:t>
      </w:r>
    </w:p>
    <w:p w:rsidR="00D41552" w:rsidRPr="00D41552" w:rsidRDefault="00D41552" w:rsidP="00D41552">
      <w:pPr>
        <w:spacing w:after="0" w:line="240" w:lineRule="auto"/>
        <w:jc w:val="both"/>
        <w:rPr>
          <w:rFonts w:ascii="Arial" w:hAnsi="Arial" w:cs="Arial"/>
          <w:b/>
          <w:sz w:val="20"/>
        </w:rPr>
      </w:pPr>
    </w:p>
    <w:p w:rsidR="00CA4632" w:rsidRDefault="00CA4632" w:rsidP="00D41552">
      <w:pPr>
        <w:spacing w:line="252" w:lineRule="auto"/>
        <w:contextualSpacing/>
        <w:jc w:val="both"/>
        <w:rPr>
          <w:rFonts w:ascii="Arial" w:hAnsi="Arial" w:cs="Arial"/>
          <w:color w:val="000000"/>
          <w:sz w:val="20"/>
          <w:szCs w:val="20"/>
          <w:lang w:eastAsia="de-DE"/>
        </w:rPr>
      </w:pPr>
      <w:r>
        <w:rPr>
          <w:rFonts w:ascii="Arial" w:hAnsi="Arial" w:cs="Arial"/>
          <w:color w:val="000000"/>
          <w:sz w:val="20"/>
          <w:szCs w:val="20"/>
          <w:lang w:eastAsia="de-DE"/>
        </w:rPr>
        <w:t>Der potentielle gesetzliche Erbe, der die Erbschaft ohne Angabe von Gründen ausschlägt und sodann mit Blick auf die inzwischen festgestellte Werthaltigkeit des Nachlasses seine Ausschlagungserklärung anficht, weil er irrtümlich von einem überschuldeten Nachlass ausgegangen sei, macht nicht den Irrtum über eine verkehrswesentliche Eigenschaft (Erbschaft), sondern einen bloßen unbeachtlichen Motivirrtum geltend, da er seine Ausschlagungserklärung ohne Kenntnis von der Zusammensetzung des Nachlasses und ohne Bewertung ihm etwa bekannter oder zugänglicher Fakten, nämlich auf spekulativer - bewusst ungesicherter - Grundlage abgegeben hat .</w:t>
      </w:r>
    </w:p>
    <w:p w:rsidR="00CA4632" w:rsidRDefault="00CA4632" w:rsidP="00083B9F">
      <w:pPr>
        <w:spacing w:after="0" w:line="240" w:lineRule="auto"/>
        <w:jc w:val="both"/>
        <w:rPr>
          <w:rFonts w:ascii="Arial" w:hAnsi="Arial" w:cs="Arial"/>
          <w:sz w:val="20"/>
        </w:rPr>
      </w:pPr>
    </w:p>
    <w:p w:rsidR="00D41552" w:rsidRDefault="00D41552" w:rsidP="00083B9F">
      <w:pPr>
        <w:spacing w:after="0" w:line="240" w:lineRule="auto"/>
        <w:jc w:val="both"/>
        <w:rPr>
          <w:rFonts w:ascii="Arial" w:hAnsi="Arial" w:cs="Arial"/>
          <w:sz w:val="20"/>
        </w:rPr>
      </w:pPr>
    </w:p>
    <w:p w:rsidR="00D41552" w:rsidRDefault="00D41552" w:rsidP="00083B9F">
      <w:pPr>
        <w:spacing w:after="0" w:line="240" w:lineRule="auto"/>
        <w:jc w:val="both"/>
        <w:rPr>
          <w:rFonts w:ascii="Arial" w:hAnsi="Arial" w:cs="Arial"/>
          <w:sz w:val="20"/>
        </w:rPr>
      </w:pPr>
    </w:p>
    <w:p w:rsidR="00D41552" w:rsidRDefault="00D41552" w:rsidP="00083B9F">
      <w:pPr>
        <w:spacing w:after="0" w:line="240" w:lineRule="auto"/>
        <w:jc w:val="both"/>
        <w:rPr>
          <w:rFonts w:ascii="Arial" w:hAnsi="Arial" w:cs="Arial"/>
          <w:sz w:val="20"/>
        </w:rPr>
      </w:pPr>
    </w:p>
    <w:p w:rsidR="00D41552" w:rsidRPr="00D41552" w:rsidRDefault="00D41552" w:rsidP="00D41552">
      <w:pPr>
        <w:spacing w:after="0" w:line="240" w:lineRule="auto"/>
        <w:jc w:val="both"/>
        <w:rPr>
          <w:rFonts w:ascii="Arial" w:hAnsi="Arial" w:cs="Arial"/>
          <w:sz w:val="20"/>
          <w:szCs w:val="20"/>
          <w:lang w:eastAsia="de-DE"/>
        </w:rPr>
      </w:pPr>
      <w:r w:rsidRPr="00D41552">
        <w:rPr>
          <w:rFonts w:ascii="Arial" w:hAnsi="Arial" w:cs="Arial"/>
          <w:sz w:val="20"/>
          <w:szCs w:val="20"/>
          <w:lang w:eastAsia="de-DE"/>
        </w:rPr>
        <w:t>Für Rückfragen stehe ich Ihnen gerne zur Verfügung.</w:t>
      </w:r>
    </w:p>
    <w:p w:rsidR="00D41552" w:rsidRPr="00D41552" w:rsidRDefault="00D41552" w:rsidP="00D41552">
      <w:pPr>
        <w:spacing w:after="0" w:line="240" w:lineRule="auto"/>
        <w:jc w:val="both"/>
        <w:rPr>
          <w:rFonts w:ascii="Arial" w:hAnsi="Arial" w:cs="Arial"/>
          <w:szCs w:val="20"/>
          <w:lang w:eastAsia="de-DE"/>
        </w:rPr>
      </w:pP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Michael Henn</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Rechtsanwalt</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Fachanwalt für Erbrecht</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Fachanwalt für Arbeitsrecht </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Schriftleiter mittelstandsdepesche </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Rechtsanwälte Dr. Gaupp &amp; </w:t>
      </w:r>
      <w:proofErr w:type="spellStart"/>
      <w:r w:rsidRPr="00D41552">
        <w:rPr>
          <w:rFonts w:ascii="Arial" w:hAnsi="Arial" w:cs="Arial"/>
          <w:sz w:val="20"/>
          <w:szCs w:val="18"/>
          <w:lang w:eastAsia="de-DE"/>
        </w:rPr>
        <w:t>Coll</w:t>
      </w:r>
      <w:proofErr w:type="spellEnd"/>
      <w:r w:rsidRPr="00D41552">
        <w:rPr>
          <w:rFonts w:ascii="Arial" w:hAnsi="Arial" w:cs="Arial"/>
          <w:sz w:val="20"/>
          <w:szCs w:val="18"/>
          <w:lang w:eastAsia="de-DE"/>
        </w:rPr>
        <w:t>.</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Kronprinzstr. 14 </w:t>
      </w:r>
      <w:r w:rsidRPr="00D41552">
        <w:rPr>
          <w:rFonts w:ascii="Arial" w:hAnsi="Arial" w:cs="Arial"/>
          <w:sz w:val="20"/>
          <w:szCs w:val="18"/>
          <w:lang w:eastAsia="de-DE"/>
        </w:rPr>
        <w:tab/>
        <w:t>70173 Stuttgart</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Tel.: 0711/ 30 58 93-0</w:t>
      </w:r>
      <w:r w:rsidRPr="00D41552">
        <w:rPr>
          <w:rFonts w:ascii="Arial" w:hAnsi="Arial" w:cs="Arial"/>
          <w:sz w:val="20"/>
          <w:szCs w:val="18"/>
          <w:lang w:eastAsia="de-DE"/>
        </w:rPr>
        <w:tab/>
      </w:r>
      <w:r w:rsidRPr="00D41552">
        <w:rPr>
          <w:rFonts w:ascii="Arial" w:hAnsi="Arial" w:cs="Arial"/>
          <w:sz w:val="20"/>
          <w:szCs w:val="18"/>
          <w:lang w:eastAsia="de-DE"/>
        </w:rPr>
        <w:tab/>
        <w:t>Fax: 0711/ 30 58 93-11</w:t>
      </w:r>
    </w:p>
    <w:p w:rsidR="00D41552" w:rsidRPr="00D41552" w:rsidRDefault="00D41552" w:rsidP="00D41552">
      <w:pPr>
        <w:spacing w:after="0" w:line="240" w:lineRule="auto"/>
        <w:jc w:val="both"/>
        <w:rPr>
          <w:rFonts w:ascii="Arial" w:hAnsi="Arial" w:cs="Arial"/>
          <w:sz w:val="20"/>
          <w:szCs w:val="18"/>
          <w:lang w:eastAsia="de-DE"/>
        </w:rPr>
      </w:pPr>
      <w:r w:rsidRPr="00D41552">
        <w:rPr>
          <w:rFonts w:ascii="Arial" w:hAnsi="Arial" w:cs="Arial"/>
          <w:sz w:val="20"/>
          <w:szCs w:val="18"/>
          <w:lang w:eastAsia="de-DE"/>
        </w:rPr>
        <w:t xml:space="preserve">E-Mail: </w:t>
      </w:r>
      <w:hyperlink r:id="rId7" w:history="1">
        <w:r w:rsidRPr="00D41552">
          <w:rPr>
            <w:rFonts w:ascii="Arial" w:hAnsi="Arial" w:cs="Arial"/>
            <w:color w:val="0563C1"/>
            <w:sz w:val="20"/>
            <w:szCs w:val="18"/>
            <w:u w:val="single"/>
            <w:lang w:eastAsia="de-DE"/>
          </w:rPr>
          <w:t>henn@drgaupp.de</w:t>
        </w:r>
      </w:hyperlink>
      <w:r w:rsidRPr="00D41552">
        <w:rPr>
          <w:rFonts w:ascii="Arial" w:hAnsi="Arial" w:cs="Arial"/>
          <w:sz w:val="20"/>
          <w:szCs w:val="18"/>
          <w:lang w:eastAsia="de-DE"/>
        </w:rPr>
        <w:tab/>
      </w:r>
      <w:r w:rsidRPr="00D41552">
        <w:rPr>
          <w:rFonts w:ascii="Arial" w:hAnsi="Arial" w:cs="Arial"/>
          <w:sz w:val="20"/>
          <w:szCs w:val="18"/>
          <w:lang w:eastAsia="de-DE"/>
        </w:rPr>
        <w:tab/>
      </w:r>
      <w:hyperlink r:id="rId8" w:history="1">
        <w:r w:rsidRPr="00D41552">
          <w:rPr>
            <w:rFonts w:ascii="Arial" w:hAnsi="Arial" w:cs="Arial"/>
            <w:color w:val="0563C1"/>
            <w:sz w:val="20"/>
            <w:szCs w:val="18"/>
            <w:u w:val="single"/>
            <w:lang w:eastAsia="de-DE"/>
          </w:rPr>
          <w:t>www.drgaupp.de</w:t>
        </w:r>
      </w:hyperlink>
    </w:p>
    <w:p w:rsidR="00D41552" w:rsidRPr="00083B9F" w:rsidRDefault="00D41552" w:rsidP="00083B9F">
      <w:pPr>
        <w:spacing w:after="0" w:line="240" w:lineRule="auto"/>
        <w:jc w:val="both"/>
        <w:rPr>
          <w:rFonts w:ascii="Arial" w:hAnsi="Arial" w:cs="Arial"/>
          <w:sz w:val="20"/>
        </w:rPr>
      </w:pPr>
    </w:p>
    <w:sectPr w:rsidR="00D41552" w:rsidRPr="00083B9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9F" w:rsidRDefault="00083B9F" w:rsidP="00083B9F">
      <w:pPr>
        <w:spacing w:after="0" w:line="240" w:lineRule="auto"/>
      </w:pPr>
      <w:r>
        <w:separator/>
      </w:r>
    </w:p>
  </w:endnote>
  <w:endnote w:type="continuationSeparator" w:id="0">
    <w:p w:rsidR="00083B9F" w:rsidRDefault="00083B9F" w:rsidP="0008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9F" w:rsidRDefault="00083B9F" w:rsidP="00083B9F">
      <w:pPr>
        <w:spacing w:after="0" w:line="240" w:lineRule="auto"/>
      </w:pPr>
      <w:r>
        <w:separator/>
      </w:r>
    </w:p>
  </w:footnote>
  <w:footnote w:type="continuationSeparator" w:id="0">
    <w:p w:rsidR="00083B9F" w:rsidRDefault="00083B9F" w:rsidP="00083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9F" w:rsidRPr="004D046F" w:rsidRDefault="00083B9F" w:rsidP="00083B9F">
    <w:pPr>
      <w:tabs>
        <w:tab w:val="center" w:pos="4819"/>
        <w:tab w:val="right" w:pos="9071"/>
      </w:tabs>
      <w:jc w:val="center"/>
      <w:rPr>
        <w:rFonts w:ascii="Arial" w:hAnsi="Arial" w:cs="Arial"/>
        <w:szCs w:val="20"/>
      </w:rPr>
    </w:pPr>
    <w:r>
      <w:rPr>
        <w:rFonts w:ascii="Arial" w:hAnsi="Arial" w:cs="Arial"/>
        <w:b/>
        <w:bCs/>
        <w:sz w:val="28"/>
        <w:szCs w:val="28"/>
      </w:rPr>
      <w:t>mittelstandsdepesche 01</w:t>
    </w:r>
    <w:r w:rsidRPr="004D046F">
      <w:rPr>
        <w:rFonts w:ascii="Arial" w:hAnsi="Arial" w:cs="Arial"/>
        <w:b/>
        <w:bCs/>
        <w:sz w:val="28"/>
        <w:szCs w:val="28"/>
      </w:rPr>
      <w:t>-202</w:t>
    </w:r>
    <w:r>
      <w:rPr>
        <w:rFonts w:ascii="Arial" w:hAnsi="Arial" w:cs="Arial"/>
        <w:b/>
        <w:bCs/>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3B46"/>
    <w:multiLevelType w:val="hybridMultilevel"/>
    <w:tmpl w:val="0C5214B8"/>
    <w:lvl w:ilvl="0" w:tplc="9A041206">
      <w:start w:val="1"/>
      <w:numFmt w:val="decimal"/>
      <w:lvlText w:val="%1.)"/>
      <w:lvlJc w:val="left"/>
      <w:pPr>
        <w:tabs>
          <w:tab w:val="num" w:pos="567"/>
        </w:tabs>
        <w:ind w:left="567" w:hanging="567"/>
      </w:pPr>
      <w:rPr>
        <w:rFonts w:cs="Times New Roman"/>
        <w:b/>
      </w:rPr>
    </w:lvl>
    <w:lvl w:ilvl="1" w:tplc="04070019">
      <w:start w:val="1"/>
      <w:numFmt w:val="lowerLetter"/>
      <w:lvlText w:val="%2."/>
      <w:lvlJc w:val="left"/>
      <w:pPr>
        <w:ind w:left="1800" w:hanging="360"/>
      </w:pPr>
      <w:rPr>
        <w:rFonts w:cs="Times New Roman"/>
      </w:rPr>
    </w:lvl>
    <w:lvl w:ilvl="2" w:tplc="0407001B">
      <w:start w:val="1"/>
      <w:numFmt w:val="lowerRoman"/>
      <w:lvlText w:val="%3."/>
      <w:lvlJc w:val="right"/>
      <w:pPr>
        <w:ind w:left="2520" w:hanging="180"/>
      </w:pPr>
      <w:rPr>
        <w:rFonts w:cs="Times New Roman"/>
      </w:rPr>
    </w:lvl>
    <w:lvl w:ilvl="3" w:tplc="0407000F">
      <w:start w:val="1"/>
      <w:numFmt w:val="decimal"/>
      <w:lvlText w:val="%4."/>
      <w:lvlJc w:val="left"/>
      <w:pPr>
        <w:ind w:left="3240" w:hanging="360"/>
      </w:pPr>
      <w:rPr>
        <w:rFonts w:cs="Times New Roman"/>
      </w:rPr>
    </w:lvl>
    <w:lvl w:ilvl="4" w:tplc="04070019">
      <w:start w:val="1"/>
      <w:numFmt w:val="lowerLetter"/>
      <w:lvlText w:val="%5."/>
      <w:lvlJc w:val="left"/>
      <w:pPr>
        <w:ind w:left="3960" w:hanging="360"/>
      </w:pPr>
      <w:rPr>
        <w:rFonts w:cs="Times New Roman"/>
      </w:rPr>
    </w:lvl>
    <w:lvl w:ilvl="5" w:tplc="0407001B">
      <w:start w:val="1"/>
      <w:numFmt w:val="lowerRoman"/>
      <w:lvlText w:val="%6."/>
      <w:lvlJc w:val="right"/>
      <w:pPr>
        <w:ind w:left="4680" w:hanging="180"/>
      </w:pPr>
      <w:rPr>
        <w:rFonts w:cs="Times New Roman"/>
      </w:rPr>
    </w:lvl>
    <w:lvl w:ilvl="6" w:tplc="0407000F">
      <w:start w:val="1"/>
      <w:numFmt w:val="decimal"/>
      <w:lvlText w:val="%7."/>
      <w:lvlJc w:val="left"/>
      <w:pPr>
        <w:ind w:left="5400" w:hanging="360"/>
      </w:pPr>
      <w:rPr>
        <w:rFonts w:cs="Times New Roman"/>
      </w:rPr>
    </w:lvl>
    <w:lvl w:ilvl="7" w:tplc="04070019">
      <w:start w:val="1"/>
      <w:numFmt w:val="lowerLetter"/>
      <w:lvlText w:val="%8."/>
      <w:lvlJc w:val="left"/>
      <w:pPr>
        <w:ind w:left="6120" w:hanging="360"/>
      </w:pPr>
      <w:rPr>
        <w:rFonts w:cs="Times New Roman"/>
      </w:rPr>
    </w:lvl>
    <w:lvl w:ilvl="8" w:tplc="0407001B">
      <w:start w:val="1"/>
      <w:numFmt w:val="lowerRoman"/>
      <w:lvlText w:val="%9."/>
      <w:lvlJc w:val="right"/>
      <w:pPr>
        <w:ind w:left="6840" w:hanging="180"/>
      </w:pPr>
      <w:rPr>
        <w:rFonts w:cs="Times New Roman"/>
      </w:rPr>
    </w:lvl>
  </w:abstractNum>
  <w:abstractNum w:abstractNumId="1" w15:restartNumberingAfterBreak="0">
    <w:nsid w:val="04BE168A"/>
    <w:multiLevelType w:val="multilevel"/>
    <w:tmpl w:val="C3AE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A5395"/>
    <w:multiLevelType w:val="multilevel"/>
    <w:tmpl w:val="831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F6A56"/>
    <w:multiLevelType w:val="hybridMultilevel"/>
    <w:tmpl w:val="285E26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592113"/>
    <w:multiLevelType w:val="multilevel"/>
    <w:tmpl w:val="FE50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559A2"/>
    <w:multiLevelType w:val="hybridMultilevel"/>
    <w:tmpl w:val="2962EB26"/>
    <w:lvl w:ilvl="0" w:tplc="C73A8228">
      <w:start w:val="1"/>
      <w:numFmt w:val="decimal"/>
      <w:lvlText w:val="%1."/>
      <w:lvlJc w:val="left"/>
      <w:pPr>
        <w:tabs>
          <w:tab w:val="num" w:pos="567"/>
        </w:tabs>
        <w:ind w:left="567" w:hanging="567"/>
      </w:pPr>
      <w:rPr>
        <w:rFonts w:ascii="Arial" w:hAnsi="Arial" w:cs="Aria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2ED1A3A"/>
    <w:multiLevelType w:val="hybridMultilevel"/>
    <w:tmpl w:val="EB9694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E8C77DF"/>
    <w:multiLevelType w:val="hybridMultilevel"/>
    <w:tmpl w:val="6A5488F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717942"/>
    <w:multiLevelType w:val="hybridMultilevel"/>
    <w:tmpl w:val="37C4E9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D6401F"/>
    <w:multiLevelType w:val="multilevel"/>
    <w:tmpl w:val="4516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3"/>
  </w:num>
  <w:num w:numId="5">
    <w:abstractNumId w:val="8"/>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AB"/>
    <w:rsid w:val="00083B9F"/>
    <w:rsid w:val="002423BA"/>
    <w:rsid w:val="0043290E"/>
    <w:rsid w:val="006B59AB"/>
    <w:rsid w:val="00932100"/>
    <w:rsid w:val="00967655"/>
    <w:rsid w:val="009C0973"/>
    <w:rsid w:val="00AB55B0"/>
    <w:rsid w:val="00BE6776"/>
    <w:rsid w:val="00CA4632"/>
    <w:rsid w:val="00D05708"/>
    <w:rsid w:val="00D41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5270-B271-46D5-89B9-D6552C9C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B55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6B59AB"/>
    <w:pPr>
      <w:spacing w:after="75" w:line="240" w:lineRule="atLeast"/>
      <w:outlineLvl w:val="2"/>
    </w:pPr>
    <w:rPr>
      <w:rFonts w:ascii="Times New Roman" w:hAnsi="Times New Roman" w:cs="Times New Roman"/>
      <w:b/>
      <w:bCs/>
      <w:sz w:val="24"/>
      <w:szCs w:val="24"/>
      <w:lang w:eastAsia="de-DE"/>
    </w:rPr>
  </w:style>
  <w:style w:type="paragraph" w:styleId="berschrift4">
    <w:name w:val="heading 4"/>
    <w:basedOn w:val="Standard"/>
    <w:link w:val="berschrift4Zchn"/>
    <w:uiPriority w:val="9"/>
    <w:semiHidden/>
    <w:unhideWhenUsed/>
    <w:qFormat/>
    <w:rsid w:val="006B59AB"/>
    <w:pPr>
      <w:spacing w:after="150" w:line="240" w:lineRule="auto"/>
      <w:outlineLvl w:val="3"/>
    </w:pPr>
    <w:rPr>
      <w:rFonts w:ascii="Times New Roman" w:hAnsi="Times New Roman" w:cs="Times New Roman"/>
      <w:color w:val="666666"/>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6B59AB"/>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6B59AB"/>
    <w:rPr>
      <w:rFonts w:ascii="Times New Roman" w:hAnsi="Times New Roman" w:cs="Times New Roman"/>
      <w:color w:val="666666"/>
      <w:sz w:val="21"/>
      <w:szCs w:val="21"/>
      <w:lang w:eastAsia="de-DE"/>
    </w:rPr>
  </w:style>
  <w:style w:type="paragraph" w:styleId="Listenabsatz">
    <w:name w:val="List Paragraph"/>
    <w:basedOn w:val="Standard"/>
    <w:uiPriority w:val="34"/>
    <w:qFormat/>
    <w:rsid w:val="006B59AB"/>
    <w:pPr>
      <w:ind w:left="720"/>
      <w:contextualSpacing/>
    </w:pPr>
  </w:style>
  <w:style w:type="character" w:customStyle="1" w:styleId="berschrift2Zchn">
    <w:name w:val="Überschrift 2 Zchn"/>
    <w:basedOn w:val="Absatz-Standardschriftart"/>
    <w:link w:val="berschrift2"/>
    <w:uiPriority w:val="9"/>
    <w:semiHidden/>
    <w:rsid w:val="00AB55B0"/>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AB55B0"/>
    <w:rPr>
      <w:b/>
      <w:bCs/>
    </w:rPr>
  </w:style>
  <w:style w:type="character" w:styleId="Hyperlink">
    <w:name w:val="Hyperlink"/>
    <w:basedOn w:val="Absatz-Standardschriftart"/>
    <w:uiPriority w:val="99"/>
    <w:unhideWhenUsed/>
    <w:rsid w:val="00AB55B0"/>
    <w:rPr>
      <w:color w:val="0000FF"/>
      <w:u w:val="single"/>
    </w:rPr>
  </w:style>
  <w:style w:type="character" w:customStyle="1" w:styleId="doclink">
    <w:name w:val="doclink"/>
    <w:basedOn w:val="Absatz-Standardschriftart"/>
    <w:rsid w:val="00AB55B0"/>
  </w:style>
  <w:style w:type="paragraph" w:styleId="StandardWeb">
    <w:name w:val="Normal (Web)"/>
    <w:basedOn w:val="Standard"/>
    <w:uiPriority w:val="99"/>
    <w:semiHidden/>
    <w:unhideWhenUsed/>
    <w:rsid w:val="00AB55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083B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3B9F"/>
  </w:style>
  <w:style w:type="paragraph" w:styleId="Fuzeile">
    <w:name w:val="footer"/>
    <w:basedOn w:val="Standard"/>
    <w:link w:val="FuzeileZchn"/>
    <w:uiPriority w:val="99"/>
    <w:unhideWhenUsed/>
    <w:rsid w:val="00083B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3B9F"/>
  </w:style>
  <w:style w:type="character" w:styleId="Hervorhebung">
    <w:name w:val="Emphasis"/>
    <w:basedOn w:val="Absatz-Standardschriftart"/>
    <w:uiPriority w:val="20"/>
    <w:qFormat/>
    <w:rsid w:val="0096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739">
      <w:bodyDiv w:val="1"/>
      <w:marLeft w:val="0"/>
      <w:marRight w:val="0"/>
      <w:marTop w:val="0"/>
      <w:marBottom w:val="0"/>
      <w:divBdr>
        <w:top w:val="none" w:sz="0" w:space="0" w:color="auto"/>
        <w:left w:val="none" w:sz="0" w:space="0" w:color="auto"/>
        <w:bottom w:val="none" w:sz="0" w:space="0" w:color="auto"/>
        <w:right w:val="none" w:sz="0" w:space="0" w:color="auto"/>
      </w:divBdr>
      <w:divsChild>
        <w:div w:id="1663314024">
          <w:marLeft w:val="0"/>
          <w:marRight w:val="0"/>
          <w:marTop w:val="0"/>
          <w:marBottom w:val="0"/>
          <w:divBdr>
            <w:top w:val="none" w:sz="0" w:space="0" w:color="auto"/>
            <w:left w:val="none" w:sz="0" w:space="0" w:color="auto"/>
            <w:bottom w:val="none" w:sz="0" w:space="0" w:color="auto"/>
            <w:right w:val="none" w:sz="0" w:space="0" w:color="auto"/>
          </w:divBdr>
          <w:divsChild>
            <w:div w:id="325673313">
              <w:marLeft w:val="0"/>
              <w:marRight w:val="0"/>
              <w:marTop w:val="0"/>
              <w:marBottom w:val="0"/>
              <w:divBdr>
                <w:top w:val="none" w:sz="0" w:space="0" w:color="auto"/>
                <w:left w:val="none" w:sz="0" w:space="0" w:color="auto"/>
                <w:bottom w:val="none" w:sz="0" w:space="0" w:color="auto"/>
                <w:right w:val="none" w:sz="0" w:space="0" w:color="auto"/>
              </w:divBdr>
              <w:divsChild>
                <w:div w:id="102498454">
                  <w:marLeft w:val="0"/>
                  <w:marRight w:val="0"/>
                  <w:marTop w:val="0"/>
                  <w:marBottom w:val="0"/>
                  <w:divBdr>
                    <w:top w:val="none" w:sz="0" w:space="0" w:color="auto"/>
                    <w:left w:val="none" w:sz="0" w:space="0" w:color="auto"/>
                    <w:bottom w:val="none" w:sz="0" w:space="0" w:color="auto"/>
                    <w:right w:val="none" w:sz="0" w:space="0" w:color="auto"/>
                  </w:divBdr>
                  <w:divsChild>
                    <w:div w:id="901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8554">
          <w:marLeft w:val="0"/>
          <w:marRight w:val="0"/>
          <w:marTop w:val="0"/>
          <w:marBottom w:val="0"/>
          <w:divBdr>
            <w:top w:val="none" w:sz="0" w:space="0" w:color="auto"/>
            <w:left w:val="none" w:sz="0" w:space="0" w:color="auto"/>
            <w:bottom w:val="none" w:sz="0" w:space="0" w:color="auto"/>
            <w:right w:val="none" w:sz="0" w:space="0" w:color="auto"/>
          </w:divBdr>
        </w:div>
        <w:div w:id="1036391192">
          <w:marLeft w:val="0"/>
          <w:marRight w:val="0"/>
          <w:marTop w:val="0"/>
          <w:marBottom w:val="0"/>
          <w:divBdr>
            <w:top w:val="none" w:sz="0" w:space="0" w:color="auto"/>
            <w:left w:val="none" w:sz="0" w:space="0" w:color="auto"/>
            <w:bottom w:val="none" w:sz="0" w:space="0" w:color="auto"/>
            <w:right w:val="none" w:sz="0" w:space="0" w:color="auto"/>
          </w:divBdr>
          <w:divsChild>
            <w:div w:id="715351202">
              <w:marLeft w:val="0"/>
              <w:marRight w:val="0"/>
              <w:marTop w:val="0"/>
              <w:marBottom w:val="0"/>
              <w:divBdr>
                <w:top w:val="none" w:sz="0" w:space="0" w:color="auto"/>
                <w:left w:val="none" w:sz="0" w:space="0" w:color="auto"/>
                <w:bottom w:val="none" w:sz="0" w:space="0" w:color="auto"/>
                <w:right w:val="none" w:sz="0" w:space="0" w:color="auto"/>
              </w:divBdr>
              <w:divsChild>
                <w:div w:id="293609934">
                  <w:marLeft w:val="0"/>
                  <w:marRight w:val="0"/>
                  <w:marTop w:val="0"/>
                  <w:marBottom w:val="0"/>
                  <w:divBdr>
                    <w:top w:val="none" w:sz="0" w:space="0" w:color="auto"/>
                    <w:left w:val="none" w:sz="0" w:space="0" w:color="auto"/>
                    <w:bottom w:val="none" w:sz="0" w:space="0" w:color="auto"/>
                    <w:right w:val="none" w:sz="0" w:space="0" w:color="auto"/>
                  </w:divBdr>
                </w:div>
                <w:div w:id="1885218549">
                  <w:marLeft w:val="0"/>
                  <w:marRight w:val="0"/>
                  <w:marTop w:val="0"/>
                  <w:marBottom w:val="0"/>
                  <w:divBdr>
                    <w:top w:val="none" w:sz="0" w:space="0" w:color="auto"/>
                    <w:left w:val="none" w:sz="0" w:space="0" w:color="auto"/>
                    <w:bottom w:val="none" w:sz="0" w:space="0" w:color="auto"/>
                    <w:right w:val="none" w:sz="0" w:space="0" w:color="auto"/>
                  </w:divBdr>
                  <w:divsChild>
                    <w:div w:id="17707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386">
      <w:bodyDiv w:val="1"/>
      <w:marLeft w:val="0"/>
      <w:marRight w:val="0"/>
      <w:marTop w:val="0"/>
      <w:marBottom w:val="0"/>
      <w:divBdr>
        <w:top w:val="none" w:sz="0" w:space="0" w:color="auto"/>
        <w:left w:val="none" w:sz="0" w:space="0" w:color="auto"/>
        <w:bottom w:val="none" w:sz="0" w:space="0" w:color="auto"/>
        <w:right w:val="none" w:sz="0" w:space="0" w:color="auto"/>
      </w:divBdr>
    </w:div>
    <w:div w:id="1043797312">
      <w:bodyDiv w:val="1"/>
      <w:marLeft w:val="0"/>
      <w:marRight w:val="0"/>
      <w:marTop w:val="0"/>
      <w:marBottom w:val="0"/>
      <w:divBdr>
        <w:top w:val="none" w:sz="0" w:space="0" w:color="auto"/>
        <w:left w:val="none" w:sz="0" w:space="0" w:color="auto"/>
        <w:bottom w:val="none" w:sz="0" w:space="0" w:color="auto"/>
        <w:right w:val="none" w:sz="0" w:space="0" w:color="auto"/>
      </w:divBdr>
      <w:divsChild>
        <w:div w:id="854421363">
          <w:marLeft w:val="0"/>
          <w:marRight w:val="0"/>
          <w:marTop w:val="0"/>
          <w:marBottom w:val="0"/>
          <w:divBdr>
            <w:top w:val="none" w:sz="0" w:space="0" w:color="auto"/>
            <w:left w:val="none" w:sz="0" w:space="0" w:color="auto"/>
            <w:bottom w:val="none" w:sz="0" w:space="0" w:color="auto"/>
            <w:right w:val="none" w:sz="0" w:space="0" w:color="auto"/>
          </w:divBdr>
          <w:divsChild>
            <w:div w:id="401410600">
              <w:marLeft w:val="0"/>
              <w:marRight w:val="0"/>
              <w:marTop w:val="0"/>
              <w:marBottom w:val="0"/>
              <w:divBdr>
                <w:top w:val="none" w:sz="0" w:space="0" w:color="auto"/>
                <w:left w:val="none" w:sz="0" w:space="0" w:color="auto"/>
                <w:bottom w:val="none" w:sz="0" w:space="0" w:color="auto"/>
                <w:right w:val="none" w:sz="0" w:space="0" w:color="auto"/>
              </w:divBdr>
              <w:divsChild>
                <w:div w:id="2000960827">
                  <w:marLeft w:val="0"/>
                  <w:marRight w:val="0"/>
                  <w:marTop w:val="0"/>
                  <w:marBottom w:val="0"/>
                  <w:divBdr>
                    <w:top w:val="none" w:sz="0" w:space="0" w:color="auto"/>
                    <w:left w:val="none" w:sz="0" w:space="0" w:color="auto"/>
                    <w:bottom w:val="none" w:sz="0" w:space="0" w:color="auto"/>
                    <w:right w:val="none" w:sz="0" w:space="0" w:color="auto"/>
                  </w:divBdr>
                  <w:divsChild>
                    <w:div w:id="14106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7051">
          <w:marLeft w:val="0"/>
          <w:marRight w:val="0"/>
          <w:marTop w:val="0"/>
          <w:marBottom w:val="0"/>
          <w:divBdr>
            <w:top w:val="none" w:sz="0" w:space="0" w:color="auto"/>
            <w:left w:val="none" w:sz="0" w:space="0" w:color="auto"/>
            <w:bottom w:val="none" w:sz="0" w:space="0" w:color="auto"/>
            <w:right w:val="none" w:sz="0" w:space="0" w:color="auto"/>
          </w:divBdr>
        </w:div>
        <w:div w:id="547687099">
          <w:marLeft w:val="0"/>
          <w:marRight w:val="0"/>
          <w:marTop w:val="0"/>
          <w:marBottom w:val="0"/>
          <w:divBdr>
            <w:top w:val="none" w:sz="0" w:space="0" w:color="auto"/>
            <w:left w:val="none" w:sz="0" w:space="0" w:color="auto"/>
            <w:bottom w:val="none" w:sz="0" w:space="0" w:color="auto"/>
            <w:right w:val="none" w:sz="0" w:space="0" w:color="auto"/>
          </w:divBdr>
          <w:divsChild>
            <w:div w:id="1117522472">
              <w:marLeft w:val="0"/>
              <w:marRight w:val="0"/>
              <w:marTop w:val="0"/>
              <w:marBottom w:val="0"/>
              <w:divBdr>
                <w:top w:val="none" w:sz="0" w:space="0" w:color="auto"/>
                <w:left w:val="none" w:sz="0" w:space="0" w:color="auto"/>
                <w:bottom w:val="none" w:sz="0" w:space="0" w:color="auto"/>
                <w:right w:val="none" w:sz="0" w:space="0" w:color="auto"/>
              </w:divBdr>
              <w:divsChild>
                <w:div w:id="926811878">
                  <w:marLeft w:val="-300"/>
                  <w:marRight w:val="0"/>
                  <w:marTop w:val="60"/>
                  <w:marBottom w:val="0"/>
                  <w:divBdr>
                    <w:top w:val="none" w:sz="0" w:space="0" w:color="auto"/>
                    <w:left w:val="none" w:sz="0" w:space="0" w:color="auto"/>
                    <w:bottom w:val="none" w:sz="0" w:space="0" w:color="auto"/>
                    <w:right w:val="none" w:sz="0" w:space="0" w:color="auto"/>
                  </w:divBdr>
                </w:div>
              </w:divsChild>
            </w:div>
            <w:div w:id="1027563798">
              <w:marLeft w:val="0"/>
              <w:marRight w:val="0"/>
              <w:marTop w:val="0"/>
              <w:marBottom w:val="0"/>
              <w:divBdr>
                <w:top w:val="none" w:sz="0" w:space="0" w:color="auto"/>
                <w:left w:val="none" w:sz="0" w:space="0" w:color="auto"/>
                <w:bottom w:val="none" w:sz="0" w:space="0" w:color="auto"/>
                <w:right w:val="none" w:sz="0" w:space="0" w:color="auto"/>
              </w:divBdr>
              <w:divsChild>
                <w:div w:id="763382630">
                  <w:marLeft w:val="0"/>
                  <w:marRight w:val="0"/>
                  <w:marTop w:val="0"/>
                  <w:marBottom w:val="0"/>
                  <w:divBdr>
                    <w:top w:val="none" w:sz="0" w:space="0" w:color="auto"/>
                    <w:left w:val="none" w:sz="0" w:space="0" w:color="auto"/>
                    <w:bottom w:val="none" w:sz="0" w:space="0" w:color="auto"/>
                    <w:right w:val="none" w:sz="0" w:space="0" w:color="auto"/>
                  </w:divBdr>
                </w:div>
                <w:div w:id="1181117155">
                  <w:marLeft w:val="0"/>
                  <w:marRight w:val="0"/>
                  <w:marTop w:val="0"/>
                  <w:marBottom w:val="0"/>
                  <w:divBdr>
                    <w:top w:val="none" w:sz="0" w:space="0" w:color="auto"/>
                    <w:left w:val="none" w:sz="0" w:space="0" w:color="auto"/>
                    <w:bottom w:val="none" w:sz="0" w:space="0" w:color="auto"/>
                    <w:right w:val="none" w:sz="0" w:space="0" w:color="auto"/>
                  </w:divBdr>
                  <w:divsChild>
                    <w:div w:id="6618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9804">
      <w:bodyDiv w:val="1"/>
      <w:marLeft w:val="0"/>
      <w:marRight w:val="0"/>
      <w:marTop w:val="0"/>
      <w:marBottom w:val="0"/>
      <w:divBdr>
        <w:top w:val="none" w:sz="0" w:space="0" w:color="auto"/>
        <w:left w:val="none" w:sz="0" w:space="0" w:color="auto"/>
        <w:bottom w:val="none" w:sz="0" w:space="0" w:color="auto"/>
        <w:right w:val="none" w:sz="0" w:space="0" w:color="auto"/>
      </w:divBdr>
    </w:div>
    <w:div w:id="1898396078">
      <w:bodyDiv w:val="1"/>
      <w:marLeft w:val="0"/>
      <w:marRight w:val="0"/>
      <w:marTop w:val="0"/>
      <w:marBottom w:val="0"/>
      <w:divBdr>
        <w:top w:val="none" w:sz="0" w:space="0" w:color="auto"/>
        <w:left w:val="none" w:sz="0" w:space="0" w:color="auto"/>
        <w:bottom w:val="none" w:sz="0" w:space="0" w:color="auto"/>
        <w:right w:val="none" w:sz="0" w:space="0" w:color="auto"/>
      </w:divBdr>
      <w:divsChild>
        <w:div w:id="1313636184">
          <w:marLeft w:val="0"/>
          <w:marRight w:val="0"/>
          <w:marTop w:val="0"/>
          <w:marBottom w:val="0"/>
          <w:divBdr>
            <w:top w:val="none" w:sz="0" w:space="0" w:color="auto"/>
            <w:left w:val="none" w:sz="0" w:space="0" w:color="auto"/>
            <w:bottom w:val="none" w:sz="0" w:space="0" w:color="auto"/>
            <w:right w:val="none" w:sz="0" w:space="0" w:color="auto"/>
          </w:divBdr>
          <w:divsChild>
            <w:div w:id="303972475">
              <w:marLeft w:val="0"/>
              <w:marRight w:val="0"/>
              <w:marTop w:val="0"/>
              <w:marBottom w:val="0"/>
              <w:divBdr>
                <w:top w:val="none" w:sz="0" w:space="0" w:color="auto"/>
                <w:left w:val="none" w:sz="0" w:space="0" w:color="auto"/>
                <w:bottom w:val="none" w:sz="0" w:space="0" w:color="auto"/>
                <w:right w:val="none" w:sz="0" w:space="0" w:color="auto"/>
              </w:divBdr>
              <w:divsChild>
                <w:div w:id="479004212">
                  <w:marLeft w:val="0"/>
                  <w:marRight w:val="0"/>
                  <w:marTop w:val="0"/>
                  <w:marBottom w:val="0"/>
                  <w:divBdr>
                    <w:top w:val="none" w:sz="0" w:space="0" w:color="auto"/>
                    <w:left w:val="none" w:sz="0" w:space="0" w:color="auto"/>
                    <w:bottom w:val="none" w:sz="0" w:space="0" w:color="auto"/>
                    <w:right w:val="none" w:sz="0" w:space="0" w:color="auto"/>
                  </w:divBdr>
                  <w:divsChild>
                    <w:div w:id="15764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4554">
          <w:marLeft w:val="0"/>
          <w:marRight w:val="0"/>
          <w:marTop w:val="0"/>
          <w:marBottom w:val="0"/>
          <w:divBdr>
            <w:top w:val="none" w:sz="0" w:space="0" w:color="auto"/>
            <w:left w:val="none" w:sz="0" w:space="0" w:color="auto"/>
            <w:bottom w:val="none" w:sz="0" w:space="0" w:color="auto"/>
            <w:right w:val="none" w:sz="0" w:space="0" w:color="auto"/>
          </w:divBdr>
        </w:div>
        <w:div w:id="1347295513">
          <w:marLeft w:val="0"/>
          <w:marRight w:val="0"/>
          <w:marTop w:val="0"/>
          <w:marBottom w:val="0"/>
          <w:divBdr>
            <w:top w:val="none" w:sz="0" w:space="0" w:color="auto"/>
            <w:left w:val="none" w:sz="0" w:space="0" w:color="auto"/>
            <w:bottom w:val="none" w:sz="0" w:space="0" w:color="auto"/>
            <w:right w:val="none" w:sz="0" w:space="0" w:color="auto"/>
          </w:divBdr>
          <w:divsChild>
            <w:div w:id="643777309">
              <w:marLeft w:val="0"/>
              <w:marRight w:val="0"/>
              <w:marTop w:val="0"/>
              <w:marBottom w:val="0"/>
              <w:divBdr>
                <w:top w:val="none" w:sz="0" w:space="0" w:color="auto"/>
                <w:left w:val="none" w:sz="0" w:space="0" w:color="auto"/>
                <w:bottom w:val="none" w:sz="0" w:space="0" w:color="auto"/>
                <w:right w:val="none" w:sz="0" w:space="0" w:color="auto"/>
              </w:divBdr>
              <w:divsChild>
                <w:div w:id="198126736">
                  <w:marLeft w:val="-300"/>
                  <w:marRight w:val="0"/>
                  <w:marTop w:val="60"/>
                  <w:marBottom w:val="0"/>
                  <w:divBdr>
                    <w:top w:val="none" w:sz="0" w:space="0" w:color="auto"/>
                    <w:left w:val="none" w:sz="0" w:space="0" w:color="auto"/>
                    <w:bottom w:val="none" w:sz="0" w:space="0" w:color="auto"/>
                    <w:right w:val="none" w:sz="0" w:space="0" w:color="auto"/>
                  </w:divBdr>
                </w:div>
              </w:divsChild>
            </w:div>
            <w:div w:id="246765840">
              <w:marLeft w:val="0"/>
              <w:marRight w:val="0"/>
              <w:marTop w:val="0"/>
              <w:marBottom w:val="0"/>
              <w:divBdr>
                <w:top w:val="none" w:sz="0" w:space="0" w:color="auto"/>
                <w:left w:val="none" w:sz="0" w:space="0" w:color="auto"/>
                <w:bottom w:val="none" w:sz="0" w:space="0" w:color="auto"/>
                <w:right w:val="none" w:sz="0" w:space="0" w:color="auto"/>
              </w:divBdr>
              <w:divsChild>
                <w:div w:id="1480027303">
                  <w:marLeft w:val="0"/>
                  <w:marRight w:val="0"/>
                  <w:marTop w:val="0"/>
                  <w:marBottom w:val="0"/>
                  <w:divBdr>
                    <w:top w:val="none" w:sz="0" w:space="0" w:color="auto"/>
                    <w:left w:val="none" w:sz="0" w:space="0" w:color="auto"/>
                    <w:bottom w:val="none" w:sz="0" w:space="0" w:color="auto"/>
                    <w:right w:val="none" w:sz="0" w:space="0" w:color="auto"/>
                  </w:divBdr>
                </w:div>
                <w:div w:id="25183503">
                  <w:marLeft w:val="0"/>
                  <w:marRight w:val="0"/>
                  <w:marTop w:val="0"/>
                  <w:marBottom w:val="0"/>
                  <w:divBdr>
                    <w:top w:val="none" w:sz="0" w:space="0" w:color="auto"/>
                    <w:left w:val="none" w:sz="0" w:space="0" w:color="auto"/>
                    <w:bottom w:val="none" w:sz="0" w:space="0" w:color="auto"/>
                    <w:right w:val="none" w:sz="0" w:space="0" w:color="auto"/>
                  </w:divBdr>
                  <w:divsChild>
                    <w:div w:id="1812014830">
                      <w:marLeft w:val="0"/>
                      <w:marRight w:val="0"/>
                      <w:marTop w:val="0"/>
                      <w:marBottom w:val="0"/>
                      <w:divBdr>
                        <w:top w:val="none" w:sz="0" w:space="0" w:color="auto"/>
                        <w:left w:val="none" w:sz="0" w:space="0" w:color="auto"/>
                        <w:bottom w:val="none" w:sz="0" w:space="0" w:color="auto"/>
                        <w:right w:val="none" w:sz="0" w:space="0" w:color="auto"/>
                      </w:divBdr>
                    </w:div>
                  </w:divsChild>
                </w:div>
                <w:div w:id="1516990985">
                  <w:marLeft w:val="0"/>
                  <w:marRight w:val="0"/>
                  <w:marTop w:val="0"/>
                  <w:marBottom w:val="0"/>
                  <w:divBdr>
                    <w:top w:val="none" w:sz="0" w:space="0" w:color="auto"/>
                    <w:left w:val="none" w:sz="0" w:space="0" w:color="auto"/>
                    <w:bottom w:val="none" w:sz="0" w:space="0" w:color="auto"/>
                    <w:right w:val="none" w:sz="0" w:space="0" w:color="auto"/>
                  </w:divBdr>
                </w:div>
                <w:div w:id="1900507815">
                  <w:marLeft w:val="0"/>
                  <w:marRight w:val="0"/>
                  <w:marTop w:val="0"/>
                  <w:marBottom w:val="0"/>
                  <w:divBdr>
                    <w:top w:val="none" w:sz="0" w:space="0" w:color="auto"/>
                    <w:left w:val="none" w:sz="0" w:space="0" w:color="auto"/>
                    <w:bottom w:val="none" w:sz="0" w:space="0" w:color="auto"/>
                    <w:right w:val="none" w:sz="0" w:space="0" w:color="auto"/>
                  </w:divBdr>
                  <w:divsChild>
                    <w:div w:id="20137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8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7712</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Michael Henn</cp:lastModifiedBy>
  <cp:revision>2</cp:revision>
  <dcterms:created xsi:type="dcterms:W3CDTF">2021-01-29T17:38:00Z</dcterms:created>
  <dcterms:modified xsi:type="dcterms:W3CDTF">2021-01-29T17:38:00Z</dcterms:modified>
</cp:coreProperties>
</file>